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35" w:rsidRDefault="00731C35" w:rsidP="0055293C">
      <w:pPr>
        <w:snapToGrid w:val="0"/>
        <w:spacing w:after="60"/>
        <w:jc w:val="center"/>
        <w:rPr>
          <w:rFonts w:eastAsia="標楷體"/>
          <w:b/>
          <w:sz w:val="28"/>
          <w:szCs w:val="28"/>
        </w:rPr>
      </w:pPr>
    </w:p>
    <w:p w:rsidR="00AB25BB" w:rsidRPr="00C711ED" w:rsidRDefault="00AB25BB" w:rsidP="0055293C">
      <w:pPr>
        <w:snapToGrid w:val="0"/>
        <w:spacing w:after="60"/>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rPr>
        <w:t>必修科目表</w:t>
      </w:r>
    </w:p>
    <w:p w:rsidR="00AB25BB" w:rsidRPr="00C711ED" w:rsidRDefault="00AB25BB" w:rsidP="0055293C">
      <w:pPr>
        <w:snapToGrid w:val="0"/>
        <w:spacing w:after="60"/>
        <w:jc w:val="center"/>
        <w:rPr>
          <w:rFonts w:eastAsia="標楷體"/>
          <w:b/>
          <w:sz w:val="28"/>
          <w:szCs w:val="28"/>
        </w:rPr>
      </w:pPr>
      <w:r w:rsidRPr="00C711ED">
        <w:rPr>
          <w:rFonts w:eastAsia="標楷體"/>
          <w:b/>
          <w:sz w:val="28"/>
          <w:szCs w:val="28"/>
        </w:rPr>
        <w:t>（</w:t>
      </w:r>
      <w:r w:rsidRPr="00C711ED">
        <w:rPr>
          <w:rFonts w:eastAsia="標楷體"/>
          <w:b/>
          <w:sz w:val="28"/>
          <w:szCs w:val="28"/>
        </w:rPr>
        <w:t>11</w:t>
      </w:r>
      <w:r w:rsidR="003A4D29">
        <w:rPr>
          <w:rFonts w:eastAsia="標楷體"/>
          <w:b/>
          <w:sz w:val="28"/>
          <w:szCs w:val="28"/>
        </w:rPr>
        <w:t>3</w:t>
      </w:r>
      <w:r w:rsidRPr="00C711ED">
        <w:rPr>
          <w:rFonts w:eastAsia="標楷體"/>
          <w:b/>
          <w:sz w:val="28"/>
          <w:szCs w:val="28"/>
        </w:rPr>
        <w:t>學年度入學新生適用）</w:t>
      </w:r>
    </w:p>
    <w:p w:rsidR="00AB25BB" w:rsidRPr="00C711ED" w:rsidRDefault="00AB25BB" w:rsidP="0055293C">
      <w:pPr>
        <w:adjustRightInd w:val="0"/>
        <w:snapToGrid w:val="0"/>
        <w:jc w:val="center"/>
        <w:rPr>
          <w:rFonts w:eastAsia="標楷體"/>
          <w:b/>
          <w:szCs w:val="24"/>
        </w:rPr>
      </w:pPr>
      <w:r w:rsidRPr="00C711ED">
        <w:rPr>
          <w:rFonts w:eastAsia="標楷體"/>
          <w:b/>
          <w:szCs w:val="24"/>
        </w:rPr>
        <w:t xml:space="preserve">List of Required Courses for </w:t>
      </w:r>
      <w:r w:rsidR="006E34F5" w:rsidRPr="00C711ED">
        <w:rPr>
          <w:rFonts w:eastAsia="標楷體"/>
          <w:b/>
          <w:szCs w:val="24"/>
        </w:rPr>
        <w:t xml:space="preserve">In-service </w:t>
      </w:r>
      <w:r w:rsidRPr="00C711ED">
        <w:rPr>
          <w:rFonts w:eastAsia="標楷體"/>
          <w:b/>
          <w:szCs w:val="24"/>
        </w:rPr>
        <w:t xml:space="preserve">Master </w:t>
      </w:r>
      <w:r w:rsidR="006E34F5" w:rsidRPr="00C711ED">
        <w:rPr>
          <w:rFonts w:eastAsia="標楷體"/>
          <w:b/>
          <w:szCs w:val="24"/>
        </w:rPr>
        <w:t>Program of</w:t>
      </w:r>
    </w:p>
    <w:p w:rsidR="00AB25BB" w:rsidRPr="00C711ED" w:rsidRDefault="00AB25BB" w:rsidP="0055293C">
      <w:pPr>
        <w:snapToGrid w:val="0"/>
        <w:spacing w:after="60"/>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AB25BB" w:rsidRDefault="00AB25BB" w:rsidP="0055293C">
      <w:pPr>
        <w:adjustRightInd w:val="0"/>
        <w:snapToGrid w:val="0"/>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2023-2024</w:t>
      </w:r>
      <w:r w:rsidRPr="00C711ED">
        <w:rPr>
          <w:rFonts w:eastAsia="標楷體"/>
          <w:b/>
          <w:sz w:val="28"/>
          <w:szCs w:val="28"/>
        </w:rPr>
        <w:t>）</w:t>
      </w:r>
    </w:p>
    <w:p w:rsidR="00731C35" w:rsidRDefault="00731C35" w:rsidP="00731C35">
      <w:pPr>
        <w:spacing w:line="240" w:lineRule="exact"/>
        <w:ind w:leftChars="100" w:left="240" w:rightChars="-295" w:right="-708"/>
        <w:jc w:val="right"/>
        <w:rPr>
          <w:sz w:val="18"/>
          <w:szCs w:val="18"/>
        </w:rPr>
      </w:pPr>
    </w:p>
    <w:p w:rsidR="00731C35" w:rsidRDefault="00731C35" w:rsidP="00731C35">
      <w:pPr>
        <w:spacing w:line="240" w:lineRule="exact"/>
        <w:ind w:leftChars="100" w:left="240" w:rightChars="-295" w:right="-708"/>
        <w:jc w:val="right"/>
        <w:rPr>
          <w:rFonts w:hint="eastAsia"/>
          <w:sz w:val="18"/>
          <w:szCs w:val="18"/>
        </w:rPr>
      </w:pPr>
    </w:p>
    <w:p w:rsidR="00731C35" w:rsidRPr="00731C35" w:rsidRDefault="00731C35" w:rsidP="00731C35">
      <w:pPr>
        <w:spacing w:line="240" w:lineRule="exact"/>
        <w:ind w:leftChars="100" w:left="240" w:rightChars="-295" w:right="-708"/>
        <w:jc w:val="right"/>
        <w:rPr>
          <w:sz w:val="20"/>
        </w:rPr>
      </w:pPr>
      <w:bookmarkStart w:id="0" w:name="_GoBack"/>
      <w:r w:rsidRPr="00731C35">
        <w:rPr>
          <w:sz w:val="20"/>
        </w:rPr>
        <w:t xml:space="preserve">113.05.01 </w:t>
      </w:r>
      <w:r w:rsidRPr="00731C35">
        <w:rPr>
          <w:rFonts w:ascii="標楷體" w:eastAsia="標楷體" w:hAnsi="標楷體" w:hint="eastAsia"/>
          <w:sz w:val="20"/>
        </w:rPr>
        <w:t>一一二學年度第八次教務會議</w:t>
      </w:r>
      <w:r w:rsidRPr="00731C35">
        <w:rPr>
          <w:rFonts w:ascii="標楷體" w:eastAsia="標楷體" w:hAnsi="標楷體" w:hint="eastAsia"/>
          <w:sz w:val="20"/>
          <w:lang w:eastAsia="zh-CN"/>
        </w:rPr>
        <w:t>通過</w:t>
      </w:r>
    </w:p>
    <w:bookmarkEnd w:id="0"/>
    <w:p w:rsidR="003A4D29" w:rsidRPr="00731C35" w:rsidRDefault="00731C35" w:rsidP="00731C35">
      <w:pPr>
        <w:spacing w:line="240" w:lineRule="exact"/>
        <w:ind w:leftChars="100" w:left="240" w:rightChars="-295" w:right="-708"/>
        <w:jc w:val="right"/>
        <w:rPr>
          <w:rFonts w:eastAsia="標楷體" w:hint="eastAsia"/>
          <w:sz w:val="20"/>
        </w:rPr>
      </w:pPr>
      <w:r w:rsidRPr="00731C35">
        <w:rPr>
          <w:sz w:val="20"/>
        </w:rPr>
        <w:t>Passed by the 8</w:t>
      </w:r>
      <w:r w:rsidRPr="00731C35">
        <w:rPr>
          <w:rFonts w:ascii="Arial" w:hAnsi="Arial" w:cs="Arial"/>
          <w:sz w:val="20"/>
          <w:shd w:val="clear" w:color="auto" w:fill="FFFFFF"/>
        </w:rPr>
        <w:t>th</w:t>
      </w:r>
      <w:r w:rsidRPr="00731C35">
        <w:rPr>
          <w:sz w:val="20"/>
        </w:rPr>
        <w:t xml:space="preserve"> Academic Affairs Meeting, Academic Year 2023, on May 01, 2024</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38"/>
        <w:gridCol w:w="2706"/>
        <w:gridCol w:w="2694"/>
        <w:gridCol w:w="1984"/>
        <w:gridCol w:w="2116"/>
      </w:tblGrid>
      <w:tr w:rsidR="00C711ED" w:rsidRPr="00C711ED" w:rsidTr="00917FC7">
        <w:trPr>
          <w:cantSplit/>
          <w:trHeight w:hRule="exact" w:val="417"/>
          <w:jc w:val="center"/>
        </w:trPr>
        <w:tc>
          <w:tcPr>
            <w:tcW w:w="838" w:type="dxa"/>
            <w:vMerge w:val="restart"/>
            <w:tcBorders>
              <w:top w:val="single" w:sz="8" w:space="0" w:color="auto"/>
              <w:left w:val="single" w:sz="8" w:space="0" w:color="auto"/>
              <w:bottom w:val="single" w:sz="2" w:space="0" w:color="auto"/>
              <w:right w:val="single" w:sz="2" w:space="0" w:color="auto"/>
            </w:tcBorders>
            <w:vAlign w:val="center"/>
          </w:tcPr>
          <w:p w:rsidR="000379EA" w:rsidRPr="00C711ED" w:rsidRDefault="000379EA" w:rsidP="000379EA">
            <w:pPr>
              <w:spacing w:line="200" w:lineRule="exact"/>
              <w:jc w:val="center"/>
              <w:rPr>
                <w:rFonts w:eastAsia="標楷體"/>
                <w:sz w:val="18"/>
              </w:rPr>
            </w:pPr>
            <w:r w:rsidRPr="00C711ED">
              <w:rPr>
                <w:rFonts w:eastAsia="標楷體"/>
                <w:sz w:val="18"/>
              </w:rPr>
              <w:t>學年</w:t>
            </w:r>
            <w:r w:rsidRPr="00C711ED">
              <w:rPr>
                <w:rFonts w:eastAsia="標楷體"/>
                <w:sz w:val="18"/>
              </w:rPr>
              <w:t>(Year)</w:t>
            </w:r>
          </w:p>
          <w:p w:rsidR="000379EA" w:rsidRPr="00C711ED" w:rsidRDefault="000379EA" w:rsidP="00EC1339">
            <w:pPr>
              <w:spacing w:line="200" w:lineRule="exact"/>
              <w:jc w:val="center"/>
              <w:rPr>
                <w:rFonts w:eastAsia="標楷體"/>
                <w:sz w:val="18"/>
              </w:rPr>
            </w:pPr>
            <w:r w:rsidRPr="00C711ED">
              <w:rPr>
                <w:rFonts w:eastAsia="標楷體"/>
                <w:sz w:val="18"/>
              </w:rPr>
              <w:t>學期</w:t>
            </w:r>
            <w:r w:rsidRPr="00C711ED">
              <w:rPr>
                <w:rFonts w:eastAsia="標楷體"/>
                <w:sz w:val="18"/>
              </w:rPr>
              <w:t>(Semester)</w:t>
            </w:r>
          </w:p>
        </w:tc>
        <w:tc>
          <w:tcPr>
            <w:tcW w:w="5400" w:type="dxa"/>
            <w:gridSpan w:val="2"/>
            <w:tcBorders>
              <w:top w:val="single" w:sz="8" w:space="0" w:color="auto"/>
              <w:left w:val="single" w:sz="2" w:space="0" w:color="auto"/>
              <w:bottom w:val="single" w:sz="2" w:space="0" w:color="auto"/>
              <w:right w:val="single" w:sz="2" w:space="0" w:color="auto"/>
            </w:tcBorders>
            <w:vAlign w:val="center"/>
          </w:tcPr>
          <w:p w:rsidR="000379EA" w:rsidRPr="00C711ED" w:rsidRDefault="000379EA" w:rsidP="000379EA">
            <w:pPr>
              <w:jc w:val="center"/>
              <w:rPr>
                <w:rFonts w:eastAsia="標楷體"/>
                <w:sz w:val="20"/>
              </w:rPr>
            </w:pPr>
            <w:r w:rsidRPr="00C711ED">
              <w:rPr>
                <w:rFonts w:eastAsia="標楷體"/>
                <w:sz w:val="20"/>
              </w:rPr>
              <w:t>第一學年</w:t>
            </w:r>
            <w:r w:rsidRPr="00C711ED">
              <w:rPr>
                <w:rFonts w:eastAsia="標楷體"/>
                <w:sz w:val="20"/>
              </w:rPr>
              <w:t>1</w:t>
            </w:r>
            <w:r w:rsidRPr="00C711ED">
              <w:rPr>
                <w:rFonts w:eastAsia="標楷體"/>
                <w:sz w:val="20"/>
                <w:vertAlign w:val="superscript"/>
              </w:rPr>
              <w:t>st</w:t>
            </w:r>
            <w:r w:rsidRPr="00C711ED">
              <w:rPr>
                <w:rFonts w:eastAsia="標楷體"/>
                <w:sz w:val="20"/>
              </w:rPr>
              <w:t xml:space="preserve"> Year</w:t>
            </w:r>
          </w:p>
        </w:tc>
        <w:tc>
          <w:tcPr>
            <w:tcW w:w="4100" w:type="dxa"/>
            <w:gridSpan w:val="2"/>
            <w:tcBorders>
              <w:top w:val="single" w:sz="8" w:space="0" w:color="auto"/>
              <w:left w:val="single" w:sz="2" w:space="0" w:color="auto"/>
              <w:bottom w:val="single" w:sz="2" w:space="0" w:color="auto"/>
              <w:right w:val="single" w:sz="8" w:space="0" w:color="auto"/>
            </w:tcBorders>
            <w:vAlign w:val="center"/>
          </w:tcPr>
          <w:p w:rsidR="000379EA" w:rsidRPr="00C711ED" w:rsidRDefault="000379EA" w:rsidP="000379EA">
            <w:pPr>
              <w:jc w:val="center"/>
              <w:rPr>
                <w:rFonts w:eastAsia="標楷體"/>
                <w:sz w:val="20"/>
              </w:rPr>
            </w:pPr>
            <w:r w:rsidRPr="00C711ED">
              <w:rPr>
                <w:rFonts w:eastAsia="標楷體"/>
                <w:sz w:val="20"/>
              </w:rPr>
              <w:t>第二學年</w:t>
            </w:r>
            <w:r w:rsidRPr="00C711ED">
              <w:rPr>
                <w:rFonts w:eastAsia="標楷體"/>
                <w:sz w:val="20"/>
              </w:rPr>
              <w:t>2</w:t>
            </w:r>
            <w:r w:rsidRPr="00C711ED">
              <w:rPr>
                <w:rFonts w:eastAsia="標楷體"/>
                <w:sz w:val="20"/>
                <w:vertAlign w:val="superscript"/>
              </w:rPr>
              <w:t>nd</w:t>
            </w:r>
            <w:r w:rsidRPr="00C711ED">
              <w:rPr>
                <w:rFonts w:eastAsia="標楷體"/>
                <w:sz w:val="20"/>
              </w:rPr>
              <w:t xml:space="preserve"> Year</w:t>
            </w:r>
          </w:p>
        </w:tc>
      </w:tr>
      <w:tr w:rsidR="00C711ED" w:rsidRPr="00C711ED" w:rsidTr="00917FC7">
        <w:trPr>
          <w:cantSplit/>
          <w:trHeight w:val="580"/>
          <w:jc w:val="center"/>
        </w:trPr>
        <w:tc>
          <w:tcPr>
            <w:tcW w:w="838" w:type="dxa"/>
            <w:vMerge/>
            <w:tcBorders>
              <w:top w:val="single" w:sz="8" w:space="0" w:color="auto"/>
              <w:left w:val="single" w:sz="8" w:space="0" w:color="auto"/>
              <w:bottom w:val="single" w:sz="2" w:space="0" w:color="auto"/>
              <w:right w:val="single" w:sz="2" w:space="0" w:color="auto"/>
            </w:tcBorders>
            <w:vAlign w:val="center"/>
          </w:tcPr>
          <w:p w:rsidR="003F6CAB" w:rsidRPr="00C711ED" w:rsidRDefault="003F6CAB" w:rsidP="003F6CAB">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上學期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Fall Semester</w:t>
            </w:r>
          </w:p>
        </w:tc>
        <w:tc>
          <w:tcPr>
            <w:tcW w:w="2694"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下學期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Spring Semester</w:t>
            </w:r>
          </w:p>
        </w:tc>
        <w:tc>
          <w:tcPr>
            <w:tcW w:w="1984"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上學期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Fall Semester</w:t>
            </w:r>
          </w:p>
        </w:tc>
        <w:tc>
          <w:tcPr>
            <w:tcW w:w="2116" w:type="dxa"/>
            <w:tcBorders>
              <w:top w:val="single" w:sz="2" w:space="0" w:color="auto"/>
              <w:left w:val="single" w:sz="2" w:space="0" w:color="auto"/>
              <w:bottom w:val="single" w:sz="2" w:space="0" w:color="auto"/>
              <w:right w:val="single" w:sz="8"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下學期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Spring Semester</w:t>
            </w:r>
          </w:p>
        </w:tc>
      </w:tr>
      <w:tr w:rsidR="00C711ED" w:rsidRPr="00C711ED" w:rsidTr="00917FC7">
        <w:trPr>
          <w:cantSplit/>
          <w:trHeight w:hRule="exact" w:val="1280"/>
          <w:jc w:val="center"/>
        </w:trPr>
        <w:tc>
          <w:tcPr>
            <w:tcW w:w="838" w:type="dxa"/>
            <w:vMerge w:val="restart"/>
            <w:tcBorders>
              <w:top w:val="single" w:sz="2" w:space="0" w:color="auto"/>
              <w:left w:val="single" w:sz="8" w:space="0" w:color="auto"/>
              <w:bottom w:val="single" w:sz="2" w:space="0" w:color="auto"/>
              <w:right w:val="single" w:sz="2" w:space="0" w:color="auto"/>
            </w:tcBorders>
            <w:vAlign w:val="center"/>
          </w:tcPr>
          <w:p w:rsidR="000379EA" w:rsidRPr="00C711ED" w:rsidRDefault="000379EA" w:rsidP="000379EA">
            <w:pPr>
              <w:spacing w:line="200" w:lineRule="exact"/>
              <w:jc w:val="center"/>
              <w:rPr>
                <w:rFonts w:eastAsia="標楷體"/>
                <w:sz w:val="18"/>
              </w:rPr>
            </w:pPr>
            <w:r w:rsidRPr="00C711ED">
              <w:rPr>
                <w:rFonts w:eastAsia="標楷體"/>
                <w:sz w:val="18"/>
              </w:rPr>
              <w:t>必修</w:t>
            </w:r>
          </w:p>
          <w:p w:rsidR="000379EA" w:rsidRPr="00C711ED" w:rsidRDefault="000379EA" w:rsidP="000379EA">
            <w:pPr>
              <w:spacing w:line="200" w:lineRule="exact"/>
              <w:jc w:val="center"/>
              <w:rPr>
                <w:rFonts w:eastAsia="標楷體"/>
                <w:sz w:val="18"/>
              </w:rPr>
            </w:pPr>
            <w:r w:rsidRPr="00C711ED">
              <w:rPr>
                <w:rFonts w:eastAsia="標楷體"/>
                <w:sz w:val="18"/>
              </w:rPr>
              <w:t>科目</w:t>
            </w:r>
          </w:p>
          <w:p w:rsidR="000379EA" w:rsidRPr="00C711ED" w:rsidRDefault="000379EA" w:rsidP="000379EA">
            <w:pPr>
              <w:spacing w:line="200" w:lineRule="exact"/>
              <w:jc w:val="center"/>
              <w:rPr>
                <w:rFonts w:eastAsia="標楷體"/>
                <w:sz w:val="18"/>
              </w:rPr>
            </w:pPr>
            <w:r w:rsidRPr="00C711ED">
              <w:rPr>
                <w:rFonts w:eastAsia="標楷體"/>
                <w:sz w:val="18"/>
              </w:rPr>
              <w:t>Required Course</w:t>
            </w:r>
          </w:p>
          <w:p w:rsidR="000379EA" w:rsidRPr="00C711ED" w:rsidRDefault="000379EA" w:rsidP="000379EA">
            <w:pPr>
              <w:spacing w:line="200" w:lineRule="exact"/>
              <w:jc w:val="center"/>
              <w:rPr>
                <w:rFonts w:eastAsia="標楷體"/>
                <w:sz w:val="18"/>
              </w:rPr>
            </w:pPr>
            <w:r w:rsidRPr="00C711ED">
              <w:rPr>
                <w:rFonts w:eastAsia="標楷體"/>
                <w:sz w:val="18"/>
              </w:rPr>
              <w:t>(</w:t>
            </w:r>
            <w:r w:rsidR="003F6CAB" w:rsidRPr="00C711ED">
              <w:rPr>
                <w:rFonts w:eastAsia="標楷體"/>
                <w:sz w:val="18"/>
              </w:rPr>
              <w:t>1</w:t>
            </w:r>
            <w:r w:rsidRPr="00C711ED">
              <w:rPr>
                <w:rFonts w:eastAsia="標楷體"/>
                <w:sz w:val="18"/>
              </w:rPr>
              <w:t>2)</w:t>
            </w: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高等品質管制</w:t>
            </w:r>
          </w:p>
          <w:p w:rsidR="000379EA" w:rsidRPr="00C711ED" w:rsidRDefault="000379EA" w:rsidP="00C711ED">
            <w:pPr>
              <w:snapToGrid w:val="0"/>
              <w:jc w:val="center"/>
              <w:rPr>
                <w:rFonts w:eastAsia="標楷體"/>
                <w:sz w:val="20"/>
              </w:rPr>
            </w:pPr>
            <w:r w:rsidRPr="00C711ED">
              <w:rPr>
                <w:rFonts w:eastAsia="標楷體"/>
                <w:sz w:val="20"/>
              </w:rPr>
              <w:t>(Advanced Quality Control)</w:t>
            </w:r>
          </w:p>
          <w:p w:rsidR="000379EA" w:rsidRPr="00C711ED" w:rsidRDefault="000379EA" w:rsidP="00C711ED">
            <w:pPr>
              <w:snapToGrid w:val="0"/>
              <w:jc w:val="center"/>
              <w:rPr>
                <w:rFonts w:eastAsia="標楷體"/>
                <w:sz w:val="20"/>
              </w:rPr>
            </w:pPr>
            <w:r w:rsidRPr="00C711ED">
              <w:rPr>
                <w:rFonts w:eastAsia="標楷體"/>
                <w:sz w:val="20"/>
              </w:rPr>
              <w:t>IE531</w:t>
            </w:r>
          </w:p>
          <w:p w:rsidR="000379EA" w:rsidRPr="00C711ED" w:rsidRDefault="000379EA" w:rsidP="00C711ED">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研究方法論</w:t>
            </w:r>
          </w:p>
          <w:p w:rsidR="000379EA" w:rsidRPr="00C711ED" w:rsidRDefault="000379EA" w:rsidP="00C711ED">
            <w:pPr>
              <w:snapToGrid w:val="0"/>
              <w:jc w:val="center"/>
              <w:rPr>
                <w:rFonts w:eastAsia="標楷體"/>
                <w:sz w:val="20"/>
              </w:rPr>
            </w:pPr>
            <w:r w:rsidRPr="00C711ED">
              <w:rPr>
                <w:rFonts w:eastAsia="標楷體"/>
                <w:sz w:val="20"/>
              </w:rPr>
              <w:t>(Research Methodology)</w:t>
            </w:r>
          </w:p>
          <w:p w:rsidR="000379EA" w:rsidRPr="00C711ED" w:rsidRDefault="000379EA" w:rsidP="00C711ED">
            <w:pPr>
              <w:snapToGrid w:val="0"/>
              <w:jc w:val="center"/>
              <w:rPr>
                <w:rFonts w:eastAsia="標楷體"/>
                <w:sz w:val="20"/>
              </w:rPr>
            </w:pPr>
            <w:r w:rsidRPr="00C711ED">
              <w:rPr>
                <w:rFonts w:eastAsia="標楷體"/>
                <w:sz w:val="20"/>
              </w:rPr>
              <w:t>IE999</w:t>
            </w:r>
          </w:p>
          <w:p w:rsidR="000379EA" w:rsidRPr="00C711ED" w:rsidRDefault="000379EA" w:rsidP="00C711ED">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p>
        </w:tc>
      </w:tr>
      <w:tr w:rsidR="00C711ED" w:rsidRPr="00C711ED" w:rsidTr="00917FC7">
        <w:trPr>
          <w:cantSplit/>
          <w:trHeight w:hRule="exact" w:val="1282"/>
          <w:jc w:val="center"/>
        </w:trPr>
        <w:tc>
          <w:tcPr>
            <w:tcW w:w="838" w:type="dxa"/>
            <w:vMerge/>
            <w:tcBorders>
              <w:top w:val="single" w:sz="2" w:space="0" w:color="auto"/>
              <w:left w:val="single" w:sz="8" w:space="0" w:color="auto"/>
              <w:bottom w:val="single" w:sz="2" w:space="0" w:color="auto"/>
              <w:right w:val="single" w:sz="2" w:space="0" w:color="auto"/>
            </w:tcBorders>
            <w:vAlign w:val="center"/>
          </w:tcPr>
          <w:p w:rsidR="000379EA" w:rsidRPr="00C711ED" w:rsidRDefault="000379EA" w:rsidP="000379EA">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高等生產管制</w:t>
            </w:r>
          </w:p>
          <w:p w:rsidR="000379EA" w:rsidRPr="00C711ED" w:rsidRDefault="000379EA" w:rsidP="00C711ED">
            <w:pPr>
              <w:snapToGrid w:val="0"/>
              <w:jc w:val="center"/>
              <w:rPr>
                <w:rFonts w:eastAsia="標楷體"/>
                <w:sz w:val="20"/>
              </w:rPr>
            </w:pPr>
            <w:r w:rsidRPr="00C711ED">
              <w:rPr>
                <w:rFonts w:eastAsia="標楷體"/>
                <w:sz w:val="20"/>
              </w:rPr>
              <w:t>(Advanced Production Control)</w:t>
            </w:r>
          </w:p>
          <w:p w:rsidR="000379EA" w:rsidRPr="00C711ED" w:rsidRDefault="000379EA" w:rsidP="00C711ED">
            <w:pPr>
              <w:snapToGrid w:val="0"/>
              <w:jc w:val="center"/>
              <w:rPr>
                <w:rFonts w:eastAsia="標楷體"/>
                <w:sz w:val="20"/>
              </w:rPr>
            </w:pPr>
            <w:r w:rsidRPr="00C711ED">
              <w:rPr>
                <w:rFonts w:eastAsia="標楷體"/>
                <w:sz w:val="20"/>
              </w:rPr>
              <w:t>IE593</w:t>
            </w:r>
          </w:p>
          <w:p w:rsidR="000379EA" w:rsidRPr="00C711ED" w:rsidRDefault="000379EA" w:rsidP="00C711ED">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實驗設計</w:t>
            </w:r>
          </w:p>
          <w:p w:rsidR="000379EA" w:rsidRPr="00C711ED" w:rsidRDefault="000379EA" w:rsidP="00C711ED">
            <w:pPr>
              <w:snapToGrid w:val="0"/>
              <w:jc w:val="center"/>
              <w:rPr>
                <w:rFonts w:eastAsia="標楷體"/>
                <w:sz w:val="20"/>
              </w:rPr>
            </w:pPr>
            <w:r w:rsidRPr="00C711ED">
              <w:rPr>
                <w:rFonts w:eastAsia="標楷體"/>
                <w:sz w:val="20"/>
              </w:rPr>
              <w:t>(Experimental Design and Applications)</w:t>
            </w:r>
          </w:p>
          <w:p w:rsidR="000379EA" w:rsidRPr="00C711ED" w:rsidRDefault="000379EA" w:rsidP="00C711ED">
            <w:pPr>
              <w:snapToGrid w:val="0"/>
              <w:jc w:val="center"/>
              <w:rPr>
                <w:rFonts w:eastAsia="標楷體"/>
                <w:sz w:val="20"/>
              </w:rPr>
            </w:pPr>
            <w:r w:rsidRPr="00C711ED">
              <w:rPr>
                <w:rFonts w:eastAsia="標楷體"/>
                <w:sz w:val="20"/>
              </w:rPr>
              <w:t>IE538</w:t>
            </w:r>
          </w:p>
          <w:p w:rsidR="000379EA" w:rsidRPr="00C711ED" w:rsidRDefault="000379EA" w:rsidP="00C711ED">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p>
        </w:tc>
      </w:tr>
      <w:tr w:rsidR="00C711ED" w:rsidRPr="00C711ED" w:rsidTr="00917FC7">
        <w:trPr>
          <w:cantSplit/>
          <w:trHeight w:hRule="exact" w:val="704"/>
          <w:jc w:val="center"/>
        </w:trPr>
        <w:tc>
          <w:tcPr>
            <w:tcW w:w="838" w:type="dxa"/>
            <w:tcBorders>
              <w:top w:val="single" w:sz="2" w:space="0" w:color="auto"/>
              <w:left w:val="single" w:sz="8" w:space="0" w:color="auto"/>
              <w:bottom w:val="single" w:sz="2" w:space="0" w:color="auto"/>
              <w:right w:val="single" w:sz="2" w:space="0" w:color="auto"/>
            </w:tcBorders>
            <w:vAlign w:val="center"/>
          </w:tcPr>
          <w:p w:rsidR="003F6CAB" w:rsidRPr="00C711ED" w:rsidRDefault="003F6CAB" w:rsidP="003F6CAB">
            <w:pPr>
              <w:snapToGrid w:val="0"/>
              <w:jc w:val="center"/>
              <w:rPr>
                <w:rFonts w:eastAsia="標楷體"/>
                <w:sz w:val="18"/>
              </w:rPr>
            </w:pPr>
            <w:r w:rsidRPr="00C711ED">
              <w:rPr>
                <w:rFonts w:eastAsia="標楷體"/>
                <w:sz w:val="18"/>
              </w:rPr>
              <w:t>學分小計</w:t>
            </w:r>
          </w:p>
          <w:p w:rsidR="000379EA" w:rsidRPr="00C711ED" w:rsidRDefault="003F6CAB" w:rsidP="003F6CAB">
            <w:pPr>
              <w:spacing w:line="200" w:lineRule="exact"/>
              <w:jc w:val="center"/>
              <w:rPr>
                <w:rFonts w:eastAsia="標楷體"/>
                <w:sz w:val="18"/>
              </w:rPr>
            </w:pPr>
            <w:r w:rsidRPr="00C711ED">
              <w:rPr>
                <w:rFonts w:eastAsia="標楷體"/>
                <w:sz w:val="16"/>
                <w:szCs w:val="16"/>
              </w:rPr>
              <w:t>Total credits</w:t>
            </w: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6</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6</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0</w:t>
            </w: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0</w:t>
            </w:r>
          </w:p>
        </w:tc>
      </w:tr>
      <w:tr w:rsidR="00C711ED" w:rsidRPr="00C711ED" w:rsidTr="00917FC7">
        <w:trPr>
          <w:cantSplit/>
          <w:trHeight w:hRule="exact" w:val="7391"/>
          <w:jc w:val="center"/>
        </w:trPr>
        <w:tc>
          <w:tcPr>
            <w:tcW w:w="838" w:type="dxa"/>
            <w:vMerge w:val="restart"/>
            <w:tcBorders>
              <w:top w:val="single" w:sz="2" w:space="0" w:color="auto"/>
              <w:left w:val="single" w:sz="8" w:space="0" w:color="auto"/>
              <w:right w:val="single" w:sz="2" w:space="0" w:color="auto"/>
            </w:tcBorders>
            <w:vAlign w:val="center"/>
          </w:tcPr>
          <w:p w:rsidR="000379EA" w:rsidRPr="00C711ED" w:rsidRDefault="000379EA" w:rsidP="000379EA">
            <w:pPr>
              <w:snapToGrid w:val="0"/>
              <w:ind w:leftChars="-11" w:left="-26" w:firstLineChars="1" w:firstLine="2"/>
              <w:jc w:val="center"/>
              <w:rPr>
                <w:rFonts w:eastAsia="標楷體"/>
                <w:kern w:val="0"/>
                <w:sz w:val="16"/>
                <w:szCs w:val="16"/>
              </w:rPr>
            </w:pPr>
            <w:r w:rsidRPr="00C711ED">
              <w:rPr>
                <w:rFonts w:eastAsia="標楷體"/>
                <w:sz w:val="16"/>
                <w:szCs w:val="16"/>
              </w:rPr>
              <w:t>備</w:t>
            </w:r>
            <w:r w:rsidRPr="00C711ED">
              <w:rPr>
                <w:rFonts w:eastAsia="標楷體"/>
                <w:sz w:val="16"/>
                <w:szCs w:val="16"/>
              </w:rPr>
              <w:t xml:space="preserve"> </w:t>
            </w:r>
            <w:r w:rsidRPr="00C711ED">
              <w:rPr>
                <w:rFonts w:eastAsia="標楷體"/>
                <w:sz w:val="16"/>
                <w:szCs w:val="16"/>
              </w:rPr>
              <w:t>註</w:t>
            </w:r>
          </w:p>
          <w:p w:rsidR="000379EA" w:rsidRPr="00C711ED" w:rsidRDefault="000379EA" w:rsidP="000379EA">
            <w:pPr>
              <w:snapToGrid w:val="0"/>
              <w:jc w:val="center"/>
              <w:rPr>
                <w:rFonts w:eastAsia="標楷體"/>
                <w:sz w:val="16"/>
                <w:szCs w:val="16"/>
              </w:rPr>
            </w:pPr>
            <w:r w:rsidRPr="00C711ED">
              <w:rPr>
                <w:rFonts w:eastAsia="標楷體"/>
                <w:sz w:val="16"/>
                <w:szCs w:val="16"/>
              </w:rPr>
              <w:t>Remarks</w:t>
            </w:r>
          </w:p>
          <w:p w:rsidR="000379EA" w:rsidRPr="00C711ED" w:rsidRDefault="000379EA" w:rsidP="0055293C">
            <w:pPr>
              <w:spacing w:before="40" w:after="40"/>
              <w:jc w:val="center"/>
              <w:rPr>
                <w:rFonts w:eastAsia="標楷體"/>
                <w:sz w:val="18"/>
              </w:rPr>
            </w:pPr>
          </w:p>
        </w:tc>
        <w:tc>
          <w:tcPr>
            <w:tcW w:w="9500" w:type="dxa"/>
            <w:gridSpan w:val="4"/>
            <w:tcBorders>
              <w:top w:val="single" w:sz="2" w:space="0" w:color="auto"/>
              <w:left w:val="single" w:sz="2" w:space="0" w:color="auto"/>
              <w:bottom w:val="single" w:sz="2" w:space="0" w:color="auto"/>
              <w:right w:val="single" w:sz="8" w:space="0" w:color="auto"/>
            </w:tcBorders>
          </w:tcPr>
          <w:p w:rsidR="000379EA" w:rsidRPr="00C711ED" w:rsidRDefault="000379EA" w:rsidP="00C711ED">
            <w:pPr>
              <w:pStyle w:val="a9"/>
              <w:numPr>
                <w:ilvl w:val="0"/>
                <w:numId w:val="5"/>
              </w:numPr>
              <w:tabs>
                <w:tab w:val="left" w:pos="255"/>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修業規定</w:t>
            </w:r>
            <w:r w:rsidR="003F6CAB" w:rsidRPr="00C711ED">
              <w:rPr>
                <w:rFonts w:ascii="Times New Roman" w:eastAsia="標楷體" w:hAnsi="Times New Roman" w:cs="Times New Roman"/>
                <w:b/>
              </w:rPr>
              <w:t xml:space="preserve"> (Regulations for Course Selection)</w:t>
            </w:r>
            <w:r w:rsidRPr="00C711ED">
              <w:rPr>
                <w:rFonts w:ascii="Times New Roman" w:eastAsia="標楷體" w:hAnsi="Times New Roman" w:cs="Times New Roman"/>
                <w:b/>
              </w:rPr>
              <w:t>：</w:t>
            </w:r>
          </w:p>
          <w:p w:rsidR="00C711ED"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本所碩士在職專班最低畢業總學分數為</w:t>
            </w:r>
            <w:r w:rsidRPr="00C711ED">
              <w:rPr>
                <w:rFonts w:ascii="Times New Roman" w:eastAsia="標楷體" w:hAnsi="Times New Roman" w:cs="Times New Roman"/>
                <w:sz w:val="20"/>
              </w:rPr>
              <w:t>33</w:t>
            </w:r>
            <w:r w:rsidRPr="00C711ED">
              <w:rPr>
                <w:rFonts w:ascii="Times New Roman" w:eastAsia="標楷體" w:hAnsi="Times New Roman" w:cs="Times New Roman"/>
                <w:sz w:val="20"/>
              </w:rPr>
              <w:t>學分，包含</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學分必修課、</w:t>
            </w:r>
            <w:r w:rsidRPr="00C711ED">
              <w:rPr>
                <w:rFonts w:ascii="Times New Roman" w:eastAsia="標楷體" w:hAnsi="Times New Roman" w:cs="Times New Roman"/>
                <w:sz w:val="20"/>
              </w:rPr>
              <w:t>15</w:t>
            </w:r>
            <w:r w:rsidRPr="00C711ED">
              <w:rPr>
                <w:rFonts w:ascii="Times New Roman" w:eastAsia="標楷體" w:hAnsi="Times New Roman" w:cs="Times New Roman"/>
                <w:sz w:val="20"/>
              </w:rPr>
              <w:t>學分選修課</w:t>
            </w:r>
            <w:r w:rsidR="003F6CAB" w:rsidRPr="00C711ED">
              <w:rPr>
                <w:rFonts w:ascii="Times New Roman" w:eastAsia="標楷體" w:hAnsi="Times New Roman" w:cs="Times New Roman"/>
                <w:sz w:val="20"/>
              </w:rPr>
              <w:t>、</w:t>
            </w:r>
            <w:r w:rsidRPr="00C711ED">
              <w:rPr>
                <w:rFonts w:ascii="Times New Roman" w:eastAsia="標楷體" w:hAnsi="Times New Roman" w:cs="Times New Roman"/>
                <w:sz w:val="20"/>
              </w:rPr>
              <w:t>及</w:t>
            </w:r>
            <w:r w:rsidRPr="00C711ED">
              <w:rPr>
                <w:rFonts w:ascii="Times New Roman" w:eastAsia="標楷體" w:hAnsi="Times New Roman" w:cs="Times New Roman"/>
                <w:sz w:val="20"/>
              </w:rPr>
              <w:t>6</w:t>
            </w:r>
            <w:r w:rsidRPr="00C711ED">
              <w:rPr>
                <w:rFonts w:ascii="Times New Roman" w:eastAsia="標楷體" w:hAnsi="Times New Roman" w:cs="Times New Roman"/>
                <w:sz w:val="20"/>
              </w:rPr>
              <w:t>學分碩士論文。</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 xml:space="preserve">The minimum total credits required for graduation </w:t>
            </w:r>
            <w:r w:rsidR="00865DC0" w:rsidRPr="00C711ED">
              <w:rPr>
                <w:rFonts w:ascii="Times New Roman" w:eastAsia="標楷體" w:hAnsi="Times New Roman" w:cs="Times New Roman"/>
                <w:sz w:val="20"/>
              </w:rPr>
              <w:t xml:space="preserve">for </w:t>
            </w:r>
            <w:r w:rsidR="000379EA" w:rsidRPr="00C711ED">
              <w:rPr>
                <w:rFonts w:ascii="Times New Roman" w:eastAsia="標楷體" w:hAnsi="Times New Roman" w:cs="Times New Roman"/>
                <w:sz w:val="20"/>
              </w:rPr>
              <w:t xml:space="preserve">the in-service master's program is 33 credits, including 12 credits of required courses, 15 credits of elective courses, and 6 credits </w:t>
            </w:r>
            <w:r w:rsidRPr="00C711ED">
              <w:rPr>
                <w:rFonts w:ascii="Times New Roman" w:eastAsia="標楷體" w:hAnsi="Times New Roman" w:cs="Times New Roman"/>
                <w:sz w:val="20"/>
              </w:rPr>
              <w:t>of</w:t>
            </w:r>
            <w:r w:rsidR="000379EA" w:rsidRPr="00C711ED">
              <w:rPr>
                <w:rFonts w:ascii="Times New Roman" w:eastAsia="標楷體" w:hAnsi="Times New Roman" w:cs="Times New Roman"/>
                <w:sz w:val="20"/>
              </w:rPr>
              <w:t xml:space="preserve"> master's thesis.</w:t>
            </w:r>
          </w:p>
          <w:p w:rsidR="000379EA"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必修</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學分需於論文提案前修畢。</w:t>
            </w:r>
          </w:p>
          <w:p w:rsidR="000379EA" w:rsidRPr="00C711ED" w:rsidRDefault="000379EA" w:rsidP="00C711ED">
            <w:pPr>
              <w:pStyle w:val="a9"/>
              <w:snapToGrid w:val="0"/>
              <w:spacing w:line="320" w:lineRule="exact"/>
              <w:ind w:leftChars="164" w:left="544" w:right="103" w:hangingChars="75" w:hanging="150"/>
              <w:jc w:val="both"/>
              <w:rPr>
                <w:rFonts w:ascii="Times New Roman" w:eastAsia="標楷體" w:hAnsi="Times New Roman" w:cs="Times New Roman"/>
                <w:sz w:val="20"/>
              </w:rPr>
            </w:pPr>
            <w:r w:rsidRPr="00C711ED">
              <w:rPr>
                <w:rFonts w:ascii="Times New Roman" w:eastAsia="標楷體" w:hAnsi="Times New Roman" w:cs="Times New Roman"/>
                <w:sz w:val="20"/>
              </w:rPr>
              <w:t>The required 12 credits must be completed before the thesis proposal</w:t>
            </w:r>
            <w:r w:rsidR="003F6CAB" w:rsidRPr="00C711ED">
              <w:rPr>
                <w:rFonts w:ascii="Times New Roman" w:eastAsia="標楷體" w:hAnsi="Times New Roman" w:cs="Times New Roman"/>
                <w:sz w:val="20"/>
              </w:rPr>
              <w:t xml:space="preserve"> examination</w:t>
            </w:r>
            <w:r w:rsidRPr="00C711ED">
              <w:rPr>
                <w:rFonts w:ascii="Times New Roman" w:eastAsia="標楷體" w:hAnsi="Times New Roman" w:cs="Times New Roman"/>
                <w:sz w:val="20"/>
              </w:rPr>
              <w:t>.</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選修非本所之課程，需先經指導教授及所長同意，且以</w:t>
            </w:r>
            <w:r w:rsidRPr="00C711ED">
              <w:rPr>
                <w:rFonts w:ascii="Times New Roman" w:eastAsia="標楷體" w:hAnsi="Times New Roman" w:cs="Times New Roman"/>
                <w:sz w:val="20"/>
              </w:rPr>
              <w:t>9</w:t>
            </w:r>
            <w:r w:rsidRPr="00C711ED">
              <w:rPr>
                <w:rFonts w:ascii="Times New Roman" w:eastAsia="標楷體" w:hAnsi="Times New Roman" w:cs="Times New Roman"/>
                <w:sz w:val="20"/>
              </w:rPr>
              <w:t>學分為上限。</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To take elective courses from other departments, students must first obtain consent from their advisor and the department chair, and the maximum number of credits allowed is 9.</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欲跨學制修課之學生，須填寫「元智大學課程跨學制申請表」，跨學制修課之學分數准予納入畢業學分，至多</w:t>
            </w:r>
            <w:r w:rsidR="00444006">
              <w:rPr>
                <w:rFonts w:ascii="Times New Roman" w:eastAsia="標楷體" w:hAnsi="Times New Roman" w:cs="Times New Roman" w:hint="eastAsia"/>
                <w:sz w:val="20"/>
              </w:rPr>
              <w:t>6</w:t>
            </w:r>
            <w:r w:rsidRPr="00C711ED">
              <w:rPr>
                <w:rFonts w:ascii="Times New Roman" w:eastAsia="標楷體" w:hAnsi="Times New Roman" w:cs="Times New Roman"/>
                <w:sz w:val="20"/>
              </w:rPr>
              <w:t>學分。</w:t>
            </w:r>
          </w:p>
          <w:p w:rsidR="00F84753" w:rsidRPr="00C711ED" w:rsidRDefault="00F84753"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711ED">
              <w:rPr>
                <w:rFonts w:ascii="Times New Roman" w:eastAsia="標楷體" w:hAnsi="Times New Roman" w:cs="Times New Roman" w:hint="eastAsia"/>
                <w:sz w:val="20"/>
              </w:rPr>
              <w:t xml:space="preserve"> maximum </w:t>
            </w:r>
            <w:r w:rsidRPr="00C711ED">
              <w:rPr>
                <w:rFonts w:ascii="Times New Roman" w:eastAsia="標楷體" w:hAnsi="Times New Roman" w:cs="Times New Roman"/>
                <w:sz w:val="20"/>
              </w:rPr>
              <w:t xml:space="preserve">of </w:t>
            </w:r>
            <w:r w:rsidR="00A77297">
              <w:rPr>
                <w:rFonts w:ascii="Times New Roman" w:eastAsia="標楷體" w:hAnsi="Times New Roman" w:cs="Times New Roman"/>
                <w:sz w:val="20"/>
              </w:rPr>
              <w:t>6</w:t>
            </w:r>
            <w:r w:rsidRPr="00C711ED">
              <w:rPr>
                <w:rFonts w:ascii="Times New Roman" w:eastAsia="標楷體" w:hAnsi="Times New Roman" w:cs="Times New Roman"/>
                <w:sz w:val="20"/>
              </w:rPr>
              <w:t xml:space="preserve"> </w:t>
            </w:r>
            <w:r w:rsidRPr="00C711ED">
              <w:rPr>
                <w:rFonts w:ascii="Times New Roman" w:eastAsia="標楷體" w:hAnsi="Times New Roman" w:cs="Times New Roman" w:hint="eastAsia"/>
                <w:sz w:val="20"/>
              </w:rPr>
              <w:t>credits</w:t>
            </w:r>
            <w:r w:rsidRPr="00C711ED">
              <w:rPr>
                <w:rFonts w:ascii="Times New Roman" w:eastAsia="標楷體" w:hAnsi="Times New Roman" w:cs="Times New Roman"/>
                <w:sz w:val="20"/>
              </w:rPr>
              <w:t xml:space="preserve"> of such courses may be </w:t>
            </w:r>
            <w:r w:rsidRPr="00C711ED">
              <w:rPr>
                <w:rFonts w:ascii="Times New Roman" w:eastAsia="標楷體" w:hAnsi="Times New Roman" w:cs="Times New Roman" w:hint="eastAsia"/>
                <w:sz w:val="20"/>
              </w:rPr>
              <w:t>counted toward graduation.</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C711ED" w:rsidRPr="00C711ED" w:rsidRDefault="00C711ED" w:rsidP="00C711ED">
            <w:pPr>
              <w:pStyle w:val="a9"/>
              <w:snapToGrid w:val="0"/>
              <w:spacing w:line="320" w:lineRule="exact"/>
              <w:ind w:leftChars="0" w:left="395" w:right="103"/>
              <w:jc w:val="both"/>
              <w:rPr>
                <w:rFonts w:ascii="Times New Roman" w:eastAsia="標楷體" w:hAnsi="Times New Roman" w:cs="Times New Roman"/>
                <w:sz w:val="18"/>
              </w:rPr>
            </w:pPr>
          </w:p>
        </w:tc>
      </w:tr>
      <w:tr w:rsidR="000379EA" w:rsidRPr="00C711ED" w:rsidTr="00917FC7">
        <w:trPr>
          <w:cantSplit/>
          <w:trHeight w:hRule="exact" w:val="11206"/>
          <w:jc w:val="center"/>
        </w:trPr>
        <w:tc>
          <w:tcPr>
            <w:tcW w:w="838" w:type="dxa"/>
            <w:vMerge/>
            <w:tcBorders>
              <w:left w:val="single" w:sz="8" w:space="0" w:color="auto"/>
              <w:bottom w:val="single" w:sz="8" w:space="0" w:color="auto"/>
              <w:right w:val="single" w:sz="2" w:space="0" w:color="auto"/>
            </w:tcBorders>
            <w:vAlign w:val="center"/>
          </w:tcPr>
          <w:p w:rsidR="000379EA" w:rsidRPr="00C711ED" w:rsidRDefault="000379EA" w:rsidP="0055293C">
            <w:pPr>
              <w:spacing w:before="40" w:after="40"/>
              <w:jc w:val="center"/>
              <w:rPr>
                <w:rFonts w:eastAsia="標楷體"/>
                <w:sz w:val="18"/>
              </w:rPr>
            </w:pPr>
          </w:p>
        </w:tc>
        <w:tc>
          <w:tcPr>
            <w:tcW w:w="9500" w:type="dxa"/>
            <w:gridSpan w:val="4"/>
            <w:tcBorders>
              <w:top w:val="single" w:sz="2" w:space="0" w:color="auto"/>
              <w:left w:val="single" w:sz="2" w:space="0" w:color="auto"/>
              <w:bottom w:val="single" w:sz="8" w:space="0" w:color="auto"/>
              <w:right w:val="single" w:sz="8" w:space="0" w:color="auto"/>
            </w:tcBorders>
            <w:vAlign w:val="center"/>
          </w:tcPr>
          <w:p w:rsidR="000379EA" w:rsidRPr="00C711ED" w:rsidRDefault="000379EA" w:rsidP="003F6CAB">
            <w:pPr>
              <w:pStyle w:val="a9"/>
              <w:numPr>
                <w:ilvl w:val="0"/>
                <w:numId w:val="5"/>
              </w:numPr>
              <w:tabs>
                <w:tab w:val="left" w:pos="271"/>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碩士論文提案考試</w:t>
            </w:r>
            <w:r w:rsidR="00A46B6F" w:rsidRPr="00C711ED">
              <w:rPr>
                <w:rFonts w:ascii="Times New Roman" w:eastAsia="標楷體" w:hAnsi="Times New Roman" w:cs="Times New Roman"/>
                <w:b/>
              </w:rPr>
              <w:t xml:space="preserve"> (Thesis Proposal Examination)</w:t>
            </w:r>
            <w:r w:rsidRPr="00C711ED">
              <w:rPr>
                <w:rFonts w:ascii="Times New Roman" w:eastAsia="標楷體" w:hAnsi="Times New Roman" w:cs="Times New Roman"/>
                <w:b/>
              </w:rPr>
              <w:t>：</w:t>
            </w:r>
          </w:p>
          <w:p w:rsidR="003F6CAB" w:rsidRPr="00C711ED" w:rsidRDefault="000379EA" w:rsidP="003F6CAB">
            <w:pPr>
              <w:spacing w:line="360" w:lineRule="exact"/>
              <w:ind w:leftChars="112" w:left="269" w:right="132"/>
              <w:jc w:val="both"/>
              <w:rPr>
                <w:rFonts w:eastAsia="標楷體"/>
                <w:sz w:val="20"/>
                <w:szCs w:val="18"/>
              </w:rPr>
            </w:pPr>
            <w:r w:rsidRPr="00C711ED">
              <w:rPr>
                <w:rFonts w:eastAsia="標楷體"/>
                <w:sz w:val="20"/>
                <w:szCs w:val="18"/>
              </w:rPr>
              <w:t>碩專班學生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0379EA" w:rsidRPr="00C711ED" w:rsidRDefault="003F6CAB" w:rsidP="003F6CAB">
            <w:pPr>
              <w:spacing w:line="360" w:lineRule="exact"/>
              <w:ind w:leftChars="112" w:left="269" w:right="132"/>
              <w:jc w:val="both"/>
              <w:rPr>
                <w:rFonts w:eastAsia="標楷體"/>
                <w:sz w:val="20"/>
                <w:szCs w:val="18"/>
              </w:rPr>
            </w:pPr>
            <w:r w:rsidRPr="00C711ED">
              <w:rPr>
                <w:rFonts w:eastAsia="標楷體"/>
                <w:sz w:val="20"/>
                <w:szCs w:val="18"/>
              </w:rPr>
              <w:t>In-service master students are required to select an advisor and submit an advisor agreement form to the department office before the end of their second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3F6CAB" w:rsidRPr="00C711ED" w:rsidRDefault="003F6CAB" w:rsidP="003F6CAB">
            <w:pPr>
              <w:spacing w:line="360" w:lineRule="exact"/>
              <w:ind w:leftChars="112" w:left="269" w:right="132"/>
              <w:jc w:val="both"/>
              <w:rPr>
                <w:rFonts w:eastAsia="標楷體"/>
                <w:sz w:val="20"/>
                <w:szCs w:val="18"/>
              </w:rPr>
            </w:pPr>
          </w:p>
          <w:p w:rsidR="000379EA" w:rsidRPr="00C711ED" w:rsidRDefault="000379EA" w:rsidP="003F6CAB">
            <w:pPr>
              <w:pStyle w:val="a9"/>
              <w:numPr>
                <w:ilvl w:val="0"/>
                <w:numId w:val="5"/>
              </w:numPr>
              <w:tabs>
                <w:tab w:val="left" w:pos="271"/>
              </w:tabs>
              <w:snapToGrid w:val="0"/>
              <w:spacing w:line="360" w:lineRule="exact"/>
              <w:ind w:leftChars="-5" w:left="0" w:right="132" w:hangingChars="5" w:hanging="12"/>
              <w:jc w:val="both"/>
              <w:rPr>
                <w:rFonts w:ascii="Times New Roman" w:eastAsia="標楷體" w:hAnsi="Times New Roman" w:cs="Times New Roman"/>
                <w:b/>
              </w:rPr>
            </w:pPr>
            <w:r w:rsidRPr="00C711ED">
              <w:rPr>
                <w:rFonts w:ascii="Times New Roman" w:eastAsia="標楷體" w:hAnsi="Times New Roman" w:cs="Times New Roman"/>
                <w:b/>
              </w:rPr>
              <w:t>碩士學位考試</w:t>
            </w:r>
            <w:r w:rsidR="00A46B6F" w:rsidRPr="00C711ED">
              <w:rPr>
                <w:rFonts w:ascii="Times New Roman" w:eastAsia="標楷體" w:hAnsi="Times New Roman" w:cs="Times New Roman"/>
                <w:b/>
              </w:rPr>
              <w:t xml:space="preserve"> (Master Degree Examination)</w:t>
            </w:r>
            <w:r w:rsidRPr="00C711ED">
              <w:rPr>
                <w:rFonts w:ascii="Times New Roman" w:eastAsia="標楷體" w:hAnsi="Times New Roman" w:cs="Times New Roman"/>
                <w:b/>
              </w:rPr>
              <w:t>：</w:t>
            </w:r>
          </w:p>
          <w:p w:rsidR="003F6CAB" w:rsidRPr="00C711ED" w:rsidRDefault="000379EA" w:rsidP="003F6CAB">
            <w:pPr>
              <w:spacing w:line="360" w:lineRule="exact"/>
              <w:ind w:leftChars="112" w:left="269" w:right="132"/>
              <w:jc w:val="both"/>
              <w:rPr>
                <w:rFonts w:eastAsia="標楷體"/>
                <w:sz w:val="20"/>
                <w:szCs w:val="18"/>
              </w:rPr>
            </w:pPr>
            <w:r w:rsidRPr="00C711ED">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711ED">
              <w:rPr>
                <w:rFonts w:eastAsia="標楷體"/>
                <w:sz w:val="20"/>
                <w:szCs w:val="18"/>
              </w:rPr>
              <w:t>20%</w:t>
            </w:r>
            <w:r w:rsidRPr="00C711ED">
              <w:rPr>
                <w:rFonts w:eastAsia="標楷體"/>
                <w:sz w:val="20"/>
                <w:szCs w:val="18"/>
              </w:rPr>
              <w:t>為原則，並於學位考試當日將「學位論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0379EA" w:rsidRPr="00C711ED" w:rsidRDefault="003F6CAB" w:rsidP="003F6CAB">
            <w:pPr>
              <w:spacing w:line="360" w:lineRule="exact"/>
              <w:ind w:leftChars="112" w:left="269" w:right="132"/>
              <w:jc w:val="both"/>
              <w:rPr>
                <w:rFonts w:eastAsia="標楷體"/>
                <w:sz w:val="20"/>
                <w:szCs w:val="18"/>
              </w:rPr>
            </w:pPr>
            <w:r w:rsidRPr="00C711ED">
              <w:rPr>
                <w:rFonts w:eastAsia="標楷體"/>
                <w:sz w:val="20"/>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BB3399" w:rsidRPr="00C711ED" w:rsidRDefault="00BB3399" w:rsidP="0055293C">
      <w:pPr>
        <w:snapToGrid w:val="0"/>
        <w:spacing w:after="60"/>
        <w:ind w:rightChars="-201" w:right="-482" w:firstLine="2"/>
        <w:jc w:val="both"/>
        <w:rPr>
          <w:rFonts w:eastAsia="標楷體"/>
          <w:b/>
        </w:rPr>
      </w:pPr>
    </w:p>
    <w:p w:rsidR="0055293C" w:rsidRPr="00C711ED" w:rsidRDefault="0055293C" w:rsidP="00674291">
      <w:pPr>
        <w:widowControl/>
        <w:spacing w:line="360" w:lineRule="exact"/>
        <w:jc w:val="center"/>
        <w:rPr>
          <w:rFonts w:eastAsia="標楷體"/>
          <w:b/>
          <w:sz w:val="28"/>
          <w:szCs w:val="28"/>
        </w:rPr>
      </w:pPr>
      <w:r w:rsidRPr="00C711ED">
        <w:rPr>
          <w:rFonts w:eastAsia="標楷體"/>
          <w:b/>
          <w:sz w:val="28"/>
          <w:szCs w:val="28"/>
        </w:rPr>
        <w:br w:type="page"/>
      </w: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lang w:eastAsia="zh-HK"/>
        </w:rPr>
        <w:t>選</w:t>
      </w:r>
      <w:r w:rsidRPr="00C711ED">
        <w:rPr>
          <w:rFonts w:eastAsia="標楷體"/>
          <w:b/>
          <w:sz w:val="28"/>
          <w:szCs w:val="28"/>
        </w:rPr>
        <w:t>修科目表</w:t>
      </w:r>
    </w:p>
    <w:p w:rsidR="0055293C" w:rsidRPr="00C711ED" w:rsidRDefault="0055293C" w:rsidP="00674291">
      <w:pPr>
        <w:snapToGrid w:val="0"/>
        <w:spacing w:line="360" w:lineRule="exact"/>
        <w:jc w:val="center"/>
        <w:rPr>
          <w:rFonts w:eastAsia="標楷體"/>
          <w:b/>
          <w:sz w:val="28"/>
          <w:szCs w:val="28"/>
        </w:rPr>
      </w:pPr>
      <w:r w:rsidRPr="00C711ED">
        <w:rPr>
          <w:rFonts w:eastAsia="標楷體"/>
          <w:b/>
          <w:sz w:val="28"/>
          <w:szCs w:val="28"/>
        </w:rPr>
        <w:t>（</w:t>
      </w:r>
      <w:r w:rsidRPr="00C711ED">
        <w:rPr>
          <w:rFonts w:eastAsia="標楷體"/>
          <w:b/>
          <w:sz w:val="28"/>
          <w:szCs w:val="28"/>
        </w:rPr>
        <w:t>11</w:t>
      </w:r>
      <w:r w:rsidR="003A4D29">
        <w:rPr>
          <w:rFonts w:eastAsia="標楷體"/>
          <w:b/>
          <w:sz w:val="28"/>
          <w:szCs w:val="28"/>
        </w:rPr>
        <w:t>3</w:t>
      </w:r>
      <w:r w:rsidRPr="00C711ED">
        <w:rPr>
          <w:rFonts w:eastAsia="標楷體"/>
          <w:b/>
          <w:sz w:val="28"/>
          <w:szCs w:val="28"/>
        </w:rPr>
        <w:t>學年度入學新生適用）</w:t>
      </w:r>
    </w:p>
    <w:p w:rsidR="00674291" w:rsidRPr="00C711ED" w:rsidRDefault="00674291" w:rsidP="00674291">
      <w:pPr>
        <w:adjustRightInd w:val="0"/>
        <w:snapToGrid w:val="0"/>
        <w:spacing w:line="360" w:lineRule="exact"/>
        <w:jc w:val="center"/>
        <w:rPr>
          <w:rFonts w:eastAsia="標楷體"/>
          <w:b/>
          <w:szCs w:val="24"/>
        </w:rPr>
      </w:pPr>
      <w:r w:rsidRPr="00C711ED">
        <w:rPr>
          <w:rFonts w:eastAsia="標楷體"/>
          <w:b/>
          <w:szCs w:val="24"/>
        </w:rPr>
        <w:t>List of Elective Courses for In-service Master Program of</w:t>
      </w:r>
    </w:p>
    <w:p w:rsidR="00674291" w:rsidRPr="00C711ED" w:rsidRDefault="00674291" w:rsidP="00674291">
      <w:pPr>
        <w:snapToGrid w:val="0"/>
        <w:spacing w:line="360" w:lineRule="exact"/>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674291" w:rsidRDefault="00674291" w:rsidP="00674291">
      <w:pPr>
        <w:adjustRightInd w:val="0"/>
        <w:snapToGrid w:val="0"/>
        <w:spacing w:line="360" w:lineRule="exact"/>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w:t>
      </w:r>
      <w:r w:rsidR="003A4D29">
        <w:rPr>
          <w:rFonts w:eastAsia="標楷體"/>
          <w:b/>
          <w:szCs w:val="24"/>
        </w:rPr>
        <w:t>4</w:t>
      </w:r>
      <w:r w:rsidRPr="00C711ED">
        <w:rPr>
          <w:rFonts w:eastAsia="標楷體"/>
          <w:b/>
          <w:szCs w:val="24"/>
        </w:rPr>
        <w:t>-202</w:t>
      </w:r>
      <w:r w:rsidR="003A4D29">
        <w:rPr>
          <w:rFonts w:eastAsia="標楷體"/>
          <w:b/>
          <w:szCs w:val="24"/>
        </w:rPr>
        <w:t>5</w:t>
      </w:r>
      <w:r w:rsidRPr="00C711ED">
        <w:rPr>
          <w:rFonts w:eastAsia="標楷體"/>
          <w:b/>
          <w:sz w:val="28"/>
          <w:szCs w:val="28"/>
        </w:rPr>
        <w:t>）</w:t>
      </w:r>
    </w:p>
    <w:p w:rsidR="00731C35" w:rsidRDefault="00731C35" w:rsidP="00731C35">
      <w:pPr>
        <w:spacing w:line="240" w:lineRule="exact"/>
        <w:ind w:leftChars="100" w:left="240" w:rightChars="-295" w:right="-708"/>
        <w:jc w:val="right"/>
        <w:rPr>
          <w:sz w:val="18"/>
          <w:szCs w:val="18"/>
        </w:rPr>
      </w:pPr>
    </w:p>
    <w:p w:rsidR="00731C35" w:rsidRPr="0063577B" w:rsidRDefault="00731C35" w:rsidP="00731C35">
      <w:pPr>
        <w:spacing w:line="240" w:lineRule="exac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3A4D29" w:rsidRPr="00917FC7" w:rsidRDefault="00731C35" w:rsidP="00731C35">
      <w:pPr>
        <w:spacing w:line="240" w:lineRule="exact"/>
        <w:ind w:leftChars="100" w:left="240" w:rightChars="-295" w:right="-708"/>
        <w:jc w:val="right"/>
        <w:rPr>
          <w:rFonts w:eastAsia="標楷體" w:hint="eastAsia"/>
          <w:sz w:val="16"/>
          <w:szCs w:val="16"/>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57"/>
        </w:trPr>
        <w:tc>
          <w:tcPr>
            <w:tcW w:w="9923" w:type="dxa"/>
            <w:gridSpan w:val="4"/>
            <w:shd w:val="clear" w:color="auto" w:fill="D9D9D9" w:themeFill="background1" w:themeFillShade="D9"/>
            <w:vAlign w:val="center"/>
          </w:tcPr>
          <w:p w:rsidR="00C711ED" w:rsidRPr="00C711ED" w:rsidRDefault="0055293C" w:rsidP="003F6CAB">
            <w:pPr>
              <w:widowControl/>
              <w:ind w:left="171" w:hangingChars="71" w:hanging="171"/>
              <w:jc w:val="both"/>
              <w:rPr>
                <w:rFonts w:eastAsia="標楷體"/>
                <w:b/>
                <w:szCs w:val="24"/>
                <w:lang w:eastAsia="zh-HK"/>
              </w:rPr>
            </w:pPr>
            <w:r w:rsidRPr="00C711ED">
              <w:rPr>
                <w:rFonts w:eastAsia="標楷體"/>
                <w:b/>
                <w:szCs w:val="24"/>
                <w:lang w:eastAsia="zh-HK"/>
              </w:rPr>
              <w:t>選修類別：決策最佳化與全球運籌管理</w:t>
            </w:r>
          </w:p>
          <w:p w:rsidR="0055293C" w:rsidRPr="00C711ED" w:rsidRDefault="00770AA9" w:rsidP="003F6CAB">
            <w:pPr>
              <w:widowControl/>
              <w:ind w:left="170" w:hangingChars="71" w:hanging="170"/>
              <w:jc w:val="both"/>
              <w:rPr>
                <w:rFonts w:eastAsia="標楷體"/>
                <w:b/>
                <w:kern w:val="0"/>
                <w:sz w:val="22"/>
                <w:szCs w:val="22"/>
              </w:rPr>
            </w:pPr>
            <w:r w:rsidRPr="00C711ED">
              <w:rPr>
                <w:rFonts w:eastAsia="標楷體"/>
                <w:szCs w:val="24"/>
              </w:rPr>
              <w:t>Category: O</w:t>
            </w:r>
            <w:r w:rsidR="00674291" w:rsidRPr="00C711ED">
              <w:rPr>
                <w:rFonts w:eastAsia="標楷體"/>
                <w:szCs w:val="24"/>
              </w:rPr>
              <w:t xml:space="preserve">ptimization and Global </w:t>
            </w:r>
            <w:r w:rsidR="003F6CAB" w:rsidRPr="00C711ED">
              <w:rPr>
                <w:rFonts w:eastAsia="標楷體"/>
                <w:szCs w:val="24"/>
              </w:rPr>
              <w:t>Logistics</w:t>
            </w:r>
            <w:r w:rsidR="00674291" w:rsidRPr="00C711ED">
              <w:rPr>
                <w:rFonts w:eastAsia="標楷體"/>
                <w:szCs w:val="24"/>
              </w:rPr>
              <w:t xml:space="preserve"> Management</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模擬學</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Simulation</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數學規劃（一）</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Mathematical Programming (I)</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時間序列分析</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Time Series Analysis and Forecasting</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tcPr>
          <w:p w:rsidR="003A4D29" w:rsidRPr="00731C35" w:rsidRDefault="003A4D29" w:rsidP="003A4D29">
            <w:pPr>
              <w:widowControl/>
              <w:ind w:left="156" w:hangingChars="71" w:hanging="156"/>
              <w:jc w:val="center"/>
              <w:rPr>
                <w:rFonts w:eastAsia="標楷體"/>
                <w:kern w:val="0"/>
                <w:sz w:val="22"/>
                <w:szCs w:val="22"/>
              </w:rPr>
            </w:pPr>
            <w:r w:rsidRPr="00731C35">
              <w:rPr>
                <w:rFonts w:eastAsia="標楷體"/>
                <w:kern w:val="0"/>
                <w:sz w:val="22"/>
                <w:szCs w:val="22"/>
              </w:rPr>
              <w:t>IE520</w:t>
            </w:r>
          </w:p>
        </w:tc>
        <w:tc>
          <w:tcPr>
            <w:tcW w:w="2971" w:type="dxa"/>
          </w:tcPr>
          <w:p w:rsidR="003A4D29" w:rsidRPr="00731C35" w:rsidRDefault="003A4D29" w:rsidP="003A4D29">
            <w:pPr>
              <w:widowControl/>
              <w:ind w:left="156" w:hangingChars="71" w:hanging="156"/>
              <w:jc w:val="both"/>
              <w:rPr>
                <w:rFonts w:eastAsia="標楷體"/>
                <w:kern w:val="0"/>
                <w:sz w:val="22"/>
                <w:szCs w:val="22"/>
              </w:rPr>
            </w:pPr>
            <w:r w:rsidRPr="00731C35">
              <w:rPr>
                <w:rFonts w:eastAsia="標楷體" w:hint="eastAsia"/>
                <w:kern w:val="0"/>
                <w:sz w:val="22"/>
                <w:szCs w:val="22"/>
              </w:rPr>
              <w:t>田口式品質工程</w:t>
            </w:r>
          </w:p>
        </w:tc>
        <w:tc>
          <w:tcPr>
            <w:tcW w:w="4967" w:type="dxa"/>
          </w:tcPr>
          <w:p w:rsidR="003A4D29" w:rsidRPr="00731C35" w:rsidRDefault="003A4D29" w:rsidP="003A4D29">
            <w:pPr>
              <w:widowControl/>
              <w:ind w:left="156" w:hangingChars="71" w:hanging="156"/>
              <w:rPr>
                <w:rFonts w:eastAsia="標楷體"/>
                <w:kern w:val="0"/>
                <w:sz w:val="22"/>
                <w:szCs w:val="22"/>
              </w:rPr>
            </w:pPr>
            <w:r w:rsidRPr="00731C35">
              <w:rPr>
                <w:rFonts w:eastAsia="標楷體"/>
                <w:kern w:val="0"/>
                <w:sz w:val="22"/>
                <w:szCs w:val="22"/>
              </w:rPr>
              <w:t>Taguchi Quality Engineering</w:t>
            </w:r>
          </w:p>
        </w:tc>
        <w:tc>
          <w:tcPr>
            <w:tcW w:w="992" w:type="dxa"/>
          </w:tcPr>
          <w:p w:rsidR="003A4D29" w:rsidRPr="00731C35" w:rsidRDefault="003A4D29" w:rsidP="003A4D29">
            <w:pPr>
              <w:widowControl/>
              <w:ind w:left="156" w:rightChars="37" w:right="89" w:hangingChars="71" w:hanging="156"/>
              <w:jc w:val="center"/>
              <w:rPr>
                <w:rFonts w:eastAsia="標楷體"/>
                <w:kern w:val="0"/>
                <w:sz w:val="22"/>
                <w:szCs w:val="22"/>
              </w:rPr>
            </w:pPr>
            <w:r w:rsidRPr="00731C35">
              <w:rPr>
                <w:rFonts w:eastAsia="標楷體" w:hint="eastAsia"/>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IE533</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機率分析</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Probabilistic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IE537</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高等設施規劃</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Advanced Facilities Planning</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IE541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決策分析</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Decision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IE576</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全球運籌管理</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Global Logistics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IE579</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運輸管理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Transportation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IE581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服務系統設計</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Service System Design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IE591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物流系統</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Analysis of Material Flows and Distribution System</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系統工程</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System Engineering</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IE605</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多變量分析</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Multivariate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IE607</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啟發式最佳化</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Heuristic Optimization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行動電子商務</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Mobile Commerce</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IE613</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供應鏈管理專題</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Topics in Supply Chain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IE615</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模糊工程與資訊</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Fuzzy Engineering and Information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IE618</w:t>
            </w:r>
          </w:p>
        </w:tc>
        <w:tc>
          <w:tcPr>
            <w:tcW w:w="2971" w:type="dxa"/>
            <w:hideMark/>
          </w:tcPr>
          <w:p w:rsidR="003A4D29" w:rsidRPr="00C711ED" w:rsidRDefault="003A4D29" w:rsidP="003A4D29">
            <w:pPr>
              <w:widowControl/>
              <w:ind w:left="142" w:hangingChars="71" w:hanging="142"/>
              <w:jc w:val="both"/>
              <w:rPr>
                <w:rFonts w:eastAsia="標楷體"/>
                <w:kern w:val="0"/>
                <w:sz w:val="20"/>
              </w:rPr>
            </w:pPr>
            <w:r w:rsidRPr="00C711ED">
              <w:rPr>
                <w:rFonts w:eastAsia="標楷體"/>
                <w:kern w:val="0"/>
                <w:sz w:val="20"/>
              </w:rPr>
              <w:t>TFT-LCD</w:t>
            </w:r>
            <w:r w:rsidRPr="00C711ED">
              <w:rPr>
                <w:rFonts w:eastAsia="標楷體"/>
                <w:kern w:val="0"/>
                <w:sz w:val="20"/>
              </w:rPr>
              <w:t>產業分析與個案探討</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TFT-LCD Industry Analysis and Case Study</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IE622</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卓越經營管理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Managing for Business Excellence</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10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IE630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進階專案管理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Advanced Project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IE631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永續發展</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Sustainable Development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left="170" w:rightChars="-201" w:right="-482" w:hangingChars="71" w:hanging="170"/>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03"/>
          <w:tblHeader/>
        </w:trPr>
        <w:tc>
          <w:tcPr>
            <w:tcW w:w="9923" w:type="dxa"/>
            <w:gridSpan w:val="4"/>
            <w:shd w:val="clear" w:color="auto" w:fill="D9D9D9" w:themeFill="background1" w:themeFillShade="D9"/>
            <w:vAlign w:val="center"/>
          </w:tcPr>
          <w:p w:rsidR="00C711ED" w:rsidRPr="00C711ED" w:rsidRDefault="0055293C" w:rsidP="0055293C">
            <w:pPr>
              <w:widowControl/>
              <w:ind w:left="171" w:hangingChars="71" w:hanging="171"/>
              <w:jc w:val="both"/>
              <w:rPr>
                <w:rFonts w:eastAsia="標楷體"/>
                <w:b/>
                <w:kern w:val="0"/>
                <w:szCs w:val="24"/>
              </w:rPr>
            </w:pPr>
            <w:r w:rsidRPr="00C711ED">
              <w:rPr>
                <w:rFonts w:eastAsia="標楷體"/>
                <w:b/>
                <w:szCs w:val="24"/>
                <w:lang w:eastAsia="zh-HK"/>
              </w:rPr>
              <w:t>選修</w:t>
            </w:r>
            <w:r w:rsidRPr="00C711ED">
              <w:rPr>
                <w:rFonts w:eastAsia="標楷體"/>
                <w:b/>
                <w:szCs w:val="24"/>
              </w:rPr>
              <w:t>類別：</w:t>
            </w:r>
            <w:r w:rsidRPr="00C711ED">
              <w:rPr>
                <w:rFonts w:eastAsia="標楷體"/>
                <w:b/>
                <w:kern w:val="0"/>
                <w:szCs w:val="24"/>
              </w:rPr>
              <w:t>智慧型生產與大數據分析</w:t>
            </w:r>
          </w:p>
          <w:p w:rsidR="0055293C" w:rsidRPr="00C711ED" w:rsidRDefault="00770AA9" w:rsidP="0055293C">
            <w:pPr>
              <w:widowControl/>
              <w:ind w:left="170" w:hangingChars="71" w:hanging="170"/>
              <w:jc w:val="both"/>
              <w:rPr>
                <w:rFonts w:eastAsia="標楷體"/>
                <w:b/>
                <w:kern w:val="0"/>
                <w:szCs w:val="24"/>
              </w:rPr>
            </w:pPr>
            <w:r w:rsidRPr="00C711ED">
              <w:rPr>
                <w:rFonts w:eastAsia="標楷體"/>
                <w:szCs w:val="24"/>
              </w:rPr>
              <w:t>Category: I</w:t>
            </w:r>
            <w:r w:rsidR="00674291" w:rsidRPr="00C711ED">
              <w:rPr>
                <w:rFonts w:eastAsia="標楷體"/>
                <w:szCs w:val="24"/>
              </w:rPr>
              <w:t>ntelligent Manufacturing and Big Data Analysis</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人工智慧與專家系統專題</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Artificial Intelligence and Expert System Topics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IE510</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電腦繪圖</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 Graphics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存貨系統與管制</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Inventory Systems and Control</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IE524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工程管理系統</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Engineering Management Systems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IE534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生產排程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Scheduling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生產計劃</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Planning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電腦輔助設計與製造（一）</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Computer-Aided Design and Manufacturing (I)</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IE562</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3D</w:t>
            </w:r>
            <w:r w:rsidRPr="00C711ED">
              <w:rPr>
                <w:rFonts w:eastAsia="標楷體"/>
                <w:kern w:val="0"/>
                <w:sz w:val="22"/>
                <w:szCs w:val="22"/>
              </w:rPr>
              <w:t>視覺模擬和虛擬實境</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3D Visual Simulation and Virtual Reality</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IE565</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人因工程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Human Factors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IE566</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可靠度工程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Reliability Engineering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IE571</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高等工程經濟</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Advanced Engineering Economics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資料視覺</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Visualization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IE590</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機器視覺應用</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Machine Vision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及時生產系統</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Just-in-Time Production System</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資料探勘</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Mining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資料模式辨識與分類</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Pattern Recognition and Classification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虛擬實境系統設計與建構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Design and Construction of Virtual Reality Systems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IE623</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人因設計</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Ergonomic Design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優使性工程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Usability Engineering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IE625</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Big Data Analytics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IE626</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物聯網概論與實務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Introduction and Practice of Internet of Things (IoT)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IE627</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區塊鏈原理與實務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Blockchain Principles and Practices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IE628</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一</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二</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IE632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智慧製造</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Smart Manufacturing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531F26">
        <w:trPr>
          <w:trHeight w:val="446"/>
        </w:trPr>
        <w:tc>
          <w:tcPr>
            <w:tcW w:w="9923" w:type="dxa"/>
            <w:gridSpan w:val="4"/>
            <w:shd w:val="clear" w:color="auto" w:fill="D9D9D9" w:themeFill="background1" w:themeFillShade="D9"/>
          </w:tcPr>
          <w:p w:rsidR="00531F26" w:rsidRDefault="0055293C" w:rsidP="00531F26">
            <w:pPr>
              <w:widowControl/>
              <w:ind w:left="171" w:hangingChars="71" w:hanging="171"/>
              <w:jc w:val="both"/>
              <w:rPr>
                <w:rFonts w:eastAsia="標楷體"/>
                <w:b/>
                <w:szCs w:val="24"/>
                <w:lang w:eastAsia="zh-HK"/>
              </w:rPr>
            </w:pPr>
            <w:r w:rsidRPr="00C711ED">
              <w:rPr>
                <w:rFonts w:eastAsia="標楷體"/>
                <w:b/>
                <w:szCs w:val="24"/>
                <w:lang w:eastAsia="zh-HK"/>
              </w:rPr>
              <w:t>選修類別：基礎共同</w:t>
            </w:r>
          </w:p>
          <w:p w:rsidR="0055293C" w:rsidRPr="00C711ED" w:rsidRDefault="00770AA9" w:rsidP="00531F26">
            <w:pPr>
              <w:widowControl/>
              <w:ind w:left="170" w:hangingChars="71" w:hanging="170"/>
              <w:jc w:val="both"/>
              <w:rPr>
                <w:rFonts w:eastAsia="標楷體"/>
                <w:b/>
                <w:kern w:val="0"/>
                <w:sz w:val="22"/>
                <w:szCs w:val="22"/>
              </w:rPr>
            </w:pPr>
            <w:r w:rsidRPr="00C711ED">
              <w:rPr>
                <w:rFonts w:eastAsia="標楷體"/>
                <w:szCs w:val="24"/>
              </w:rPr>
              <w:t>Category: C</w:t>
            </w:r>
            <w:r w:rsidR="00366BA4" w:rsidRPr="00C711ED">
              <w:rPr>
                <w:rFonts w:eastAsia="標楷體"/>
                <w:szCs w:val="24"/>
              </w:rPr>
              <w:t>ommon</w:t>
            </w:r>
            <w:r w:rsidR="003F6CAB" w:rsidRPr="00C711ED">
              <w:rPr>
                <w:rFonts w:eastAsia="標楷體"/>
                <w:szCs w:val="24"/>
              </w:rPr>
              <w:t xml:space="preserve"> Courses</w:t>
            </w:r>
          </w:p>
        </w:tc>
      </w:tr>
      <w:tr w:rsidR="00C711ED" w:rsidRPr="00C711ED" w:rsidTr="00C711ED">
        <w:trPr>
          <w:trHeight w:val="424"/>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96"/>
        </w:trPr>
        <w:tc>
          <w:tcPr>
            <w:tcW w:w="993"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IE608</w:t>
            </w:r>
          </w:p>
        </w:tc>
        <w:tc>
          <w:tcPr>
            <w:tcW w:w="2971" w:type="dxa"/>
            <w:noWrap/>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科技英文</w:t>
            </w:r>
            <w:r w:rsidRPr="00C711ED">
              <w:rPr>
                <w:rFonts w:ascii="Segoe UI Symbol" w:eastAsia="標楷體" w:hAnsi="Segoe UI Symbol" w:cs="Segoe UI Symbol"/>
                <w:kern w:val="0"/>
                <w:sz w:val="22"/>
                <w:szCs w:val="22"/>
              </w:rPr>
              <w:t>★</w:t>
            </w:r>
          </w:p>
        </w:tc>
        <w:tc>
          <w:tcPr>
            <w:tcW w:w="4967" w:type="dxa"/>
            <w:noWrap/>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Technical Writing</w:t>
            </w:r>
          </w:p>
        </w:tc>
        <w:tc>
          <w:tcPr>
            <w:tcW w:w="992"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3F6CAB" w:rsidRPr="00C711ED" w:rsidRDefault="003F6CAB" w:rsidP="00D94B31">
      <w:pPr>
        <w:spacing w:line="320" w:lineRule="exact"/>
        <w:ind w:rightChars="-201" w:right="-482"/>
        <w:jc w:val="both"/>
        <w:rPr>
          <w:rFonts w:eastAsia="標楷體"/>
          <w:sz w:val="20"/>
        </w:rPr>
      </w:pPr>
      <w:r w:rsidRPr="00C711ED">
        <w:rPr>
          <w:rFonts w:eastAsia="標楷體"/>
          <w:sz w:val="20"/>
        </w:rPr>
        <w:t>註：「</w:t>
      </w:r>
      <w:r w:rsidRPr="00C711ED">
        <w:rPr>
          <w:rFonts w:ascii="Segoe UI Symbol" w:eastAsia="標楷體" w:hAnsi="Segoe UI Symbol" w:cs="Segoe UI Symbol"/>
          <w:sz w:val="20"/>
        </w:rPr>
        <w:t>★</w:t>
      </w:r>
      <w:r w:rsidRPr="00C711ED">
        <w:rPr>
          <w:rFonts w:eastAsia="標楷體"/>
          <w:sz w:val="20"/>
        </w:rPr>
        <w:t>」表示</w:t>
      </w:r>
      <w:r w:rsidRPr="00C711ED">
        <w:rPr>
          <w:rFonts w:eastAsia="標楷體"/>
          <w:sz w:val="20"/>
          <w:lang w:eastAsia="zh-HK"/>
        </w:rPr>
        <w:t>可</w:t>
      </w:r>
      <w:r w:rsidRPr="00C711ED">
        <w:rPr>
          <w:rFonts w:eastAsia="標楷體"/>
          <w:sz w:val="20"/>
        </w:rPr>
        <w:t>能以英語授課</w:t>
      </w:r>
      <w:r w:rsidRPr="00C711ED">
        <w:rPr>
          <w:rFonts w:eastAsia="標楷體"/>
          <w:sz w:val="20"/>
        </w:rPr>
        <w:t xml:space="preserve"> </w:t>
      </w:r>
    </w:p>
    <w:p w:rsidR="003F6CAB" w:rsidRPr="00C711ED" w:rsidRDefault="003F6CAB" w:rsidP="00D94B31">
      <w:pPr>
        <w:spacing w:line="320" w:lineRule="exact"/>
        <w:ind w:rightChars="-201" w:right="-482"/>
        <w:jc w:val="both"/>
        <w:rPr>
          <w:rFonts w:eastAsia="標楷體"/>
        </w:rPr>
      </w:pPr>
      <w:r w:rsidRPr="00C711ED">
        <w:rPr>
          <w:rFonts w:eastAsia="標楷體"/>
          <w:sz w:val="20"/>
        </w:rPr>
        <w:t xml:space="preserve">Note: </w:t>
      </w:r>
      <w:r w:rsidRPr="00C711ED">
        <w:rPr>
          <w:rFonts w:ascii="Segoe UI Symbol" w:eastAsia="標楷體" w:hAnsi="Segoe UI Symbol" w:cs="Segoe UI Symbol"/>
          <w:sz w:val="20"/>
        </w:rPr>
        <w:t>★</w:t>
      </w:r>
      <w:r w:rsidRPr="00C711ED">
        <w:rPr>
          <w:rFonts w:eastAsia="標楷體"/>
          <w:sz w:val="20"/>
        </w:rPr>
        <w:t xml:space="preserve"> </w:t>
      </w:r>
      <w:r w:rsidR="001A76DD" w:rsidRPr="00C711ED">
        <w:rPr>
          <w:rFonts w:eastAsia="標楷體"/>
          <w:sz w:val="20"/>
        </w:rPr>
        <w:t>indicates the course might be offered in English</w:t>
      </w:r>
    </w:p>
    <w:p w:rsidR="0055293C" w:rsidRPr="00C711ED" w:rsidRDefault="0055293C" w:rsidP="0055293C">
      <w:pPr>
        <w:ind w:rightChars="-201" w:right="-482"/>
        <w:jc w:val="both"/>
        <w:rPr>
          <w:rFonts w:eastAsia="標楷體"/>
        </w:rPr>
      </w:pPr>
    </w:p>
    <w:p w:rsidR="005417C0" w:rsidRPr="00C711ED" w:rsidRDefault="005417C0" w:rsidP="0055293C">
      <w:pPr>
        <w:widowControl/>
        <w:spacing w:line="400" w:lineRule="exact"/>
        <w:ind w:rightChars="-201" w:right="-482"/>
        <w:jc w:val="center"/>
        <w:rPr>
          <w:rFonts w:eastAsia="標楷體"/>
          <w:b/>
          <w:sz w:val="28"/>
          <w:szCs w:val="28"/>
        </w:rPr>
      </w:pPr>
    </w:p>
    <w:sectPr w:rsidR="005417C0" w:rsidRPr="00C711ED" w:rsidSect="00917FC7">
      <w:pgSz w:w="11906" w:h="16838"/>
      <w:pgMar w:top="851" w:right="1558" w:bottom="0" w:left="1418"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64" w:rsidRDefault="005D4C64" w:rsidP="00E20EEB">
      <w:r>
        <w:separator/>
      </w:r>
    </w:p>
  </w:endnote>
  <w:endnote w:type="continuationSeparator" w:id="0">
    <w:p w:rsidR="005D4C64" w:rsidRDefault="005D4C64"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64" w:rsidRDefault="005D4C64" w:rsidP="00E20EEB">
      <w:r>
        <w:separator/>
      </w:r>
    </w:p>
  </w:footnote>
  <w:footnote w:type="continuationSeparator" w:id="0">
    <w:p w:rsidR="005D4C64" w:rsidRDefault="005D4C64"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429"/>
    <w:multiLevelType w:val="hybridMultilevel"/>
    <w:tmpl w:val="86642FEC"/>
    <w:lvl w:ilvl="0" w:tplc="36AE3354">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7B6A14"/>
    <w:multiLevelType w:val="hybridMultilevel"/>
    <w:tmpl w:val="8FCE525A"/>
    <w:lvl w:ilvl="0" w:tplc="04090005">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5B63220E"/>
    <w:multiLevelType w:val="hybridMultilevel"/>
    <w:tmpl w:val="960E3D7A"/>
    <w:lvl w:ilvl="0" w:tplc="33E2E250">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3NzI3t7SwNDRW0lEKTi0uzszPAykwrgUAPY1IpywAAAA="/>
  </w:docVars>
  <w:rsids>
    <w:rsidRoot w:val="003B6AC3"/>
    <w:rsid w:val="00000556"/>
    <w:rsid w:val="000034DC"/>
    <w:rsid w:val="00007CF5"/>
    <w:rsid w:val="00014558"/>
    <w:rsid w:val="000150BF"/>
    <w:rsid w:val="00024666"/>
    <w:rsid w:val="00031015"/>
    <w:rsid w:val="00031872"/>
    <w:rsid w:val="0003433D"/>
    <w:rsid w:val="000379EA"/>
    <w:rsid w:val="00050681"/>
    <w:rsid w:val="00050A8A"/>
    <w:rsid w:val="000570F1"/>
    <w:rsid w:val="0006744F"/>
    <w:rsid w:val="00067981"/>
    <w:rsid w:val="0009277B"/>
    <w:rsid w:val="000A1474"/>
    <w:rsid w:val="000A411A"/>
    <w:rsid w:val="000A7AAE"/>
    <w:rsid w:val="000C71FE"/>
    <w:rsid w:val="000C7818"/>
    <w:rsid w:val="000D07DA"/>
    <w:rsid w:val="000D74F3"/>
    <w:rsid w:val="000E12B5"/>
    <w:rsid w:val="000E30AF"/>
    <w:rsid w:val="000F1B3B"/>
    <w:rsid w:val="000F2F0B"/>
    <w:rsid w:val="000F7D5C"/>
    <w:rsid w:val="0011222C"/>
    <w:rsid w:val="00140713"/>
    <w:rsid w:val="00141CF1"/>
    <w:rsid w:val="00141DDA"/>
    <w:rsid w:val="00151F37"/>
    <w:rsid w:val="00161F1B"/>
    <w:rsid w:val="001733FD"/>
    <w:rsid w:val="00176827"/>
    <w:rsid w:val="00180DBD"/>
    <w:rsid w:val="001A0DB5"/>
    <w:rsid w:val="001A76DD"/>
    <w:rsid w:val="001B63E1"/>
    <w:rsid w:val="001F051B"/>
    <w:rsid w:val="002354A5"/>
    <w:rsid w:val="00244BC9"/>
    <w:rsid w:val="00250E8E"/>
    <w:rsid w:val="00257408"/>
    <w:rsid w:val="00257AEB"/>
    <w:rsid w:val="00261E77"/>
    <w:rsid w:val="00263AD7"/>
    <w:rsid w:val="00270902"/>
    <w:rsid w:val="00276063"/>
    <w:rsid w:val="00283E7A"/>
    <w:rsid w:val="00290426"/>
    <w:rsid w:val="00297C53"/>
    <w:rsid w:val="002A0B36"/>
    <w:rsid w:val="002A5FF4"/>
    <w:rsid w:val="002A7A56"/>
    <w:rsid w:val="002A7FF4"/>
    <w:rsid w:val="002B2939"/>
    <w:rsid w:val="002C221B"/>
    <w:rsid w:val="002C38B3"/>
    <w:rsid w:val="002C5FC1"/>
    <w:rsid w:val="002C6D17"/>
    <w:rsid w:val="002C790F"/>
    <w:rsid w:val="002D17A9"/>
    <w:rsid w:val="002D1866"/>
    <w:rsid w:val="002D2486"/>
    <w:rsid w:val="002F4D95"/>
    <w:rsid w:val="002F7661"/>
    <w:rsid w:val="003153B0"/>
    <w:rsid w:val="00320F52"/>
    <w:rsid w:val="0033506B"/>
    <w:rsid w:val="003362DE"/>
    <w:rsid w:val="0035799A"/>
    <w:rsid w:val="00366BA4"/>
    <w:rsid w:val="003925ED"/>
    <w:rsid w:val="00395266"/>
    <w:rsid w:val="003A4D29"/>
    <w:rsid w:val="003B4F13"/>
    <w:rsid w:val="003B6AC3"/>
    <w:rsid w:val="003C1265"/>
    <w:rsid w:val="003D2AF4"/>
    <w:rsid w:val="003D480E"/>
    <w:rsid w:val="003E0852"/>
    <w:rsid w:val="003E43E7"/>
    <w:rsid w:val="003F5BE0"/>
    <w:rsid w:val="003F6CAB"/>
    <w:rsid w:val="004122F5"/>
    <w:rsid w:val="00415772"/>
    <w:rsid w:val="00416B9C"/>
    <w:rsid w:val="00434A58"/>
    <w:rsid w:val="004402B8"/>
    <w:rsid w:val="004437B7"/>
    <w:rsid w:val="00444006"/>
    <w:rsid w:val="00447179"/>
    <w:rsid w:val="00450A1D"/>
    <w:rsid w:val="0045137F"/>
    <w:rsid w:val="004518FC"/>
    <w:rsid w:val="00456762"/>
    <w:rsid w:val="00456D8D"/>
    <w:rsid w:val="00494758"/>
    <w:rsid w:val="004B022B"/>
    <w:rsid w:val="004B1064"/>
    <w:rsid w:val="004B554D"/>
    <w:rsid w:val="004C6BF0"/>
    <w:rsid w:val="004D0498"/>
    <w:rsid w:val="004D4763"/>
    <w:rsid w:val="004D6306"/>
    <w:rsid w:val="004D7751"/>
    <w:rsid w:val="004E36C8"/>
    <w:rsid w:val="004E7561"/>
    <w:rsid w:val="004E75E6"/>
    <w:rsid w:val="00503EDF"/>
    <w:rsid w:val="00512006"/>
    <w:rsid w:val="0051474B"/>
    <w:rsid w:val="005211C7"/>
    <w:rsid w:val="00523DA8"/>
    <w:rsid w:val="005259C3"/>
    <w:rsid w:val="00531F26"/>
    <w:rsid w:val="0054000A"/>
    <w:rsid w:val="0054111D"/>
    <w:rsid w:val="005417C0"/>
    <w:rsid w:val="00543470"/>
    <w:rsid w:val="00547A7B"/>
    <w:rsid w:val="00550D4B"/>
    <w:rsid w:val="0055293C"/>
    <w:rsid w:val="00555217"/>
    <w:rsid w:val="0057306E"/>
    <w:rsid w:val="00585F40"/>
    <w:rsid w:val="005A0CC6"/>
    <w:rsid w:val="005A2D23"/>
    <w:rsid w:val="005A5756"/>
    <w:rsid w:val="005A7DFC"/>
    <w:rsid w:val="005B31EE"/>
    <w:rsid w:val="005C068B"/>
    <w:rsid w:val="005C094A"/>
    <w:rsid w:val="005D4C64"/>
    <w:rsid w:val="005E3C9D"/>
    <w:rsid w:val="00601244"/>
    <w:rsid w:val="00602682"/>
    <w:rsid w:val="00603534"/>
    <w:rsid w:val="00606B83"/>
    <w:rsid w:val="00610CAD"/>
    <w:rsid w:val="0061176A"/>
    <w:rsid w:val="00622106"/>
    <w:rsid w:val="00630F5F"/>
    <w:rsid w:val="00637561"/>
    <w:rsid w:val="00640817"/>
    <w:rsid w:val="00644A4C"/>
    <w:rsid w:val="006713BA"/>
    <w:rsid w:val="0067144F"/>
    <w:rsid w:val="006725EC"/>
    <w:rsid w:val="00673D9F"/>
    <w:rsid w:val="00674291"/>
    <w:rsid w:val="006751C8"/>
    <w:rsid w:val="00683E51"/>
    <w:rsid w:val="00692230"/>
    <w:rsid w:val="006A2795"/>
    <w:rsid w:val="006A601F"/>
    <w:rsid w:val="006C117A"/>
    <w:rsid w:val="006C2145"/>
    <w:rsid w:val="006C2B92"/>
    <w:rsid w:val="006E34F5"/>
    <w:rsid w:val="006E511E"/>
    <w:rsid w:val="006E633F"/>
    <w:rsid w:val="00704A1A"/>
    <w:rsid w:val="00704BA9"/>
    <w:rsid w:val="0070717E"/>
    <w:rsid w:val="007105CF"/>
    <w:rsid w:val="00710D54"/>
    <w:rsid w:val="00722A61"/>
    <w:rsid w:val="0072401A"/>
    <w:rsid w:val="00724ED8"/>
    <w:rsid w:val="00731C35"/>
    <w:rsid w:val="0075270D"/>
    <w:rsid w:val="00753F72"/>
    <w:rsid w:val="0075614C"/>
    <w:rsid w:val="007575A6"/>
    <w:rsid w:val="00757B76"/>
    <w:rsid w:val="00770764"/>
    <w:rsid w:val="00770AA9"/>
    <w:rsid w:val="00774ABD"/>
    <w:rsid w:val="00797D9B"/>
    <w:rsid w:val="007B2526"/>
    <w:rsid w:val="007B5A34"/>
    <w:rsid w:val="007D1B19"/>
    <w:rsid w:val="007D1C33"/>
    <w:rsid w:val="007D2F21"/>
    <w:rsid w:val="00821E3B"/>
    <w:rsid w:val="00823AD5"/>
    <w:rsid w:val="00831F39"/>
    <w:rsid w:val="00832B2F"/>
    <w:rsid w:val="00843F7A"/>
    <w:rsid w:val="00850C03"/>
    <w:rsid w:val="00855D92"/>
    <w:rsid w:val="008563C1"/>
    <w:rsid w:val="008633B1"/>
    <w:rsid w:val="00865DC0"/>
    <w:rsid w:val="008670FA"/>
    <w:rsid w:val="00871D0F"/>
    <w:rsid w:val="00897B65"/>
    <w:rsid w:val="008A0425"/>
    <w:rsid w:val="008B508C"/>
    <w:rsid w:val="008B56D5"/>
    <w:rsid w:val="008D2CA2"/>
    <w:rsid w:val="008F1082"/>
    <w:rsid w:val="008F284E"/>
    <w:rsid w:val="008F2A29"/>
    <w:rsid w:val="00901B3C"/>
    <w:rsid w:val="00902C95"/>
    <w:rsid w:val="009125A7"/>
    <w:rsid w:val="00914D25"/>
    <w:rsid w:val="00915629"/>
    <w:rsid w:val="00917FC7"/>
    <w:rsid w:val="00931A13"/>
    <w:rsid w:val="009403A8"/>
    <w:rsid w:val="00947B93"/>
    <w:rsid w:val="00962827"/>
    <w:rsid w:val="00973A4F"/>
    <w:rsid w:val="00977506"/>
    <w:rsid w:val="00982842"/>
    <w:rsid w:val="009861F3"/>
    <w:rsid w:val="009968A3"/>
    <w:rsid w:val="009A149C"/>
    <w:rsid w:val="009A4B92"/>
    <w:rsid w:val="009C1BA7"/>
    <w:rsid w:val="009D57F1"/>
    <w:rsid w:val="009D7CFC"/>
    <w:rsid w:val="00A0399A"/>
    <w:rsid w:val="00A0481D"/>
    <w:rsid w:val="00A05C7B"/>
    <w:rsid w:val="00A0684D"/>
    <w:rsid w:val="00A14B52"/>
    <w:rsid w:val="00A1607E"/>
    <w:rsid w:val="00A1778D"/>
    <w:rsid w:val="00A21B75"/>
    <w:rsid w:val="00A25E39"/>
    <w:rsid w:val="00A46B6F"/>
    <w:rsid w:val="00A5564F"/>
    <w:rsid w:val="00A6267F"/>
    <w:rsid w:val="00A77297"/>
    <w:rsid w:val="00A84661"/>
    <w:rsid w:val="00A9192C"/>
    <w:rsid w:val="00AA15F3"/>
    <w:rsid w:val="00AB25BB"/>
    <w:rsid w:val="00AB2A04"/>
    <w:rsid w:val="00AC401B"/>
    <w:rsid w:val="00AC6E3E"/>
    <w:rsid w:val="00AF2129"/>
    <w:rsid w:val="00AF7467"/>
    <w:rsid w:val="00B011EC"/>
    <w:rsid w:val="00B0456B"/>
    <w:rsid w:val="00B04FFD"/>
    <w:rsid w:val="00B23B6D"/>
    <w:rsid w:val="00B23CB0"/>
    <w:rsid w:val="00B26DB3"/>
    <w:rsid w:val="00B27DA9"/>
    <w:rsid w:val="00B35DCC"/>
    <w:rsid w:val="00B37139"/>
    <w:rsid w:val="00B37361"/>
    <w:rsid w:val="00B4212B"/>
    <w:rsid w:val="00B4797F"/>
    <w:rsid w:val="00B53E51"/>
    <w:rsid w:val="00B569F6"/>
    <w:rsid w:val="00B60C86"/>
    <w:rsid w:val="00B709EF"/>
    <w:rsid w:val="00B81B98"/>
    <w:rsid w:val="00B832AD"/>
    <w:rsid w:val="00B85AFD"/>
    <w:rsid w:val="00B86B0A"/>
    <w:rsid w:val="00B917D3"/>
    <w:rsid w:val="00BA7FFA"/>
    <w:rsid w:val="00BB3399"/>
    <w:rsid w:val="00BB33E2"/>
    <w:rsid w:val="00BC1787"/>
    <w:rsid w:val="00BC2BCB"/>
    <w:rsid w:val="00BC7733"/>
    <w:rsid w:val="00BE1A40"/>
    <w:rsid w:val="00BF2023"/>
    <w:rsid w:val="00BF3507"/>
    <w:rsid w:val="00C00926"/>
    <w:rsid w:val="00C01CCA"/>
    <w:rsid w:val="00C05BD8"/>
    <w:rsid w:val="00C124CC"/>
    <w:rsid w:val="00C13ADA"/>
    <w:rsid w:val="00C21671"/>
    <w:rsid w:val="00C2549A"/>
    <w:rsid w:val="00C336C3"/>
    <w:rsid w:val="00C52287"/>
    <w:rsid w:val="00C711ED"/>
    <w:rsid w:val="00C76A7C"/>
    <w:rsid w:val="00C80271"/>
    <w:rsid w:val="00C925D2"/>
    <w:rsid w:val="00C92764"/>
    <w:rsid w:val="00C9624C"/>
    <w:rsid w:val="00CB1D16"/>
    <w:rsid w:val="00CB3313"/>
    <w:rsid w:val="00D07665"/>
    <w:rsid w:val="00D112D7"/>
    <w:rsid w:val="00D11472"/>
    <w:rsid w:val="00D14305"/>
    <w:rsid w:val="00D16C63"/>
    <w:rsid w:val="00D2645C"/>
    <w:rsid w:val="00D525F4"/>
    <w:rsid w:val="00D569D9"/>
    <w:rsid w:val="00D609DB"/>
    <w:rsid w:val="00D67A04"/>
    <w:rsid w:val="00D719CE"/>
    <w:rsid w:val="00D76520"/>
    <w:rsid w:val="00D840DF"/>
    <w:rsid w:val="00D939C5"/>
    <w:rsid w:val="00D94B31"/>
    <w:rsid w:val="00D952DD"/>
    <w:rsid w:val="00D976D8"/>
    <w:rsid w:val="00DA43A7"/>
    <w:rsid w:val="00DB0646"/>
    <w:rsid w:val="00DC25F8"/>
    <w:rsid w:val="00DF47CD"/>
    <w:rsid w:val="00E02D89"/>
    <w:rsid w:val="00E03BA5"/>
    <w:rsid w:val="00E145AD"/>
    <w:rsid w:val="00E15D26"/>
    <w:rsid w:val="00E1609E"/>
    <w:rsid w:val="00E20EEB"/>
    <w:rsid w:val="00E27063"/>
    <w:rsid w:val="00E346EC"/>
    <w:rsid w:val="00E414BE"/>
    <w:rsid w:val="00E42668"/>
    <w:rsid w:val="00E47B98"/>
    <w:rsid w:val="00E507D6"/>
    <w:rsid w:val="00E52C10"/>
    <w:rsid w:val="00E54683"/>
    <w:rsid w:val="00E679F9"/>
    <w:rsid w:val="00E70091"/>
    <w:rsid w:val="00E77841"/>
    <w:rsid w:val="00E86547"/>
    <w:rsid w:val="00E86F85"/>
    <w:rsid w:val="00EA2EAB"/>
    <w:rsid w:val="00EB518D"/>
    <w:rsid w:val="00EB78F9"/>
    <w:rsid w:val="00EC1339"/>
    <w:rsid w:val="00EC7529"/>
    <w:rsid w:val="00ED7FD7"/>
    <w:rsid w:val="00EF25B0"/>
    <w:rsid w:val="00EF4012"/>
    <w:rsid w:val="00EF6908"/>
    <w:rsid w:val="00EF69DB"/>
    <w:rsid w:val="00F17595"/>
    <w:rsid w:val="00F22734"/>
    <w:rsid w:val="00F31876"/>
    <w:rsid w:val="00F358A8"/>
    <w:rsid w:val="00F437C8"/>
    <w:rsid w:val="00F51D1B"/>
    <w:rsid w:val="00F52E30"/>
    <w:rsid w:val="00F5301C"/>
    <w:rsid w:val="00F629F0"/>
    <w:rsid w:val="00F633A4"/>
    <w:rsid w:val="00F67FE5"/>
    <w:rsid w:val="00F84753"/>
    <w:rsid w:val="00FA6A08"/>
    <w:rsid w:val="00FA7B59"/>
    <w:rsid w:val="00FB1A8E"/>
    <w:rsid w:val="00FC429C"/>
    <w:rsid w:val="00FE2957"/>
    <w:rsid w:val="00FE4BC6"/>
    <w:rsid w:val="00FF37D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DE29B"/>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character" w:styleId="ab">
    <w:name w:val="annotation reference"/>
    <w:basedOn w:val="a0"/>
    <w:rsid w:val="00915629"/>
    <w:rPr>
      <w:sz w:val="18"/>
      <w:szCs w:val="18"/>
    </w:rPr>
  </w:style>
  <w:style w:type="paragraph" w:styleId="ac">
    <w:name w:val="annotation text"/>
    <w:basedOn w:val="a"/>
    <w:link w:val="ad"/>
    <w:rsid w:val="00915629"/>
  </w:style>
  <w:style w:type="character" w:customStyle="1" w:styleId="ad">
    <w:name w:val="註解文字 字元"/>
    <w:basedOn w:val="a0"/>
    <w:link w:val="ac"/>
    <w:rsid w:val="00915629"/>
    <w:rPr>
      <w:kern w:val="2"/>
      <w:sz w:val="24"/>
    </w:rPr>
  </w:style>
  <w:style w:type="paragraph" w:styleId="ae">
    <w:name w:val="annotation subject"/>
    <w:basedOn w:val="ac"/>
    <w:next w:val="ac"/>
    <w:link w:val="af"/>
    <w:rsid w:val="00915629"/>
    <w:rPr>
      <w:b/>
      <w:bCs/>
    </w:rPr>
  </w:style>
  <w:style w:type="character" w:customStyle="1" w:styleId="af">
    <w:name w:val="註解主旨 字元"/>
    <w:basedOn w:val="ad"/>
    <w:link w:val="ae"/>
    <w:rsid w:val="00915629"/>
    <w:rPr>
      <w:b/>
      <w:bCs/>
      <w:kern w:val="2"/>
      <w:sz w:val="24"/>
    </w:rPr>
  </w:style>
  <w:style w:type="paragraph" w:customStyle="1" w:styleId="Default">
    <w:name w:val="Default"/>
    <w:rsid w:val="00C336C3"/>
    <w:pPr>
      <w:widowControl w:val="0"/>
      <w:autoSpaceDE w:val="0"/>
      <w:autoSpaceDN w:val="0"/>
      <w:adjustRightInd w:val="0"/>
    </w:pPr>
    <w:rPr>
      <w:rFonts w:ascii="新細明體." w:eastAsia="新細明體." w:cs="新細明體."/>
      <w:color w:val="000000"/>
      <w:sz w:val="24"/>
      <w:szCs w:val="24"/>
    </w:rPr>
  </w:style>
  <w:style w:type="paragraph" w:styleId="af0">
    <w:name w:val="Title"/>
    <w:basedOn w:val="a"/>
    <w:next w:val="a"/>
    <w:link w:val="af1"/>
    <w:qFormat/>
    <w:rsid w:val="00257408"/>
    <w:pPr>
      <w:spacing w:line="360" w:lineRule="exact"/>
      <w:ind w:rightChars="-150" w:right="-360"/>
      <w:jc w:val="center"/>
    </w:pPr>
    <w:rPr>
      <w:rFonts w:eastAsia="標楷體" w:hAnsi="標楷體"/>
      <w:b/>
      <w:color w:val="000000"/>
      <w:sz w:val="28"/>
    </w:rPr>
  </w:style>
  <w:style w:type="character" w:customStyle="1" w:styleId="af1">
    <w:name w:val="標題 字元"/>
    <w:basedOn w:val="a0"/>
    <w:link w:val="af0"/>
    <w:rsid w:val="00257408"/>
    <w:rPr>
      <w:rFonts w:eastAsia="標楷體" w:hAnsi="標楷體"/>
      <w:b/>
      <w:color w:val="000000"/>
      <w:kern w:val="2"/>
      <w:sz w:val="28"/>
    </w:rPr>
  </w:style>
  <w:style w:type="paragraph" w:styleId="af2">
    <w:name w:val="Subtitle"/>
    <w:basedOn w:val="a"/>
    <w:next w:val="a"/>
    <w:link w:val="af3"/>
    <w:qFormat/>
    <w:rsid w:val="00257408"/>
    <w:pPr>
      <w:snapToGrid w:val="0"/>
      <w:spacing w:line="360" w:lineRule="exact"/>
      <w:ind w:rightChars="-150" w:right="-360"/>
      <w:jc w:val="center"/>
    </w:pPr>
    <w:rPr>
      <w:rFonts w:eastAsia="標楷體" w:hAnsi="標楷體"/>
      <w:b/>
      <w:color w:val="FF0000"/>
    </w:rPr>
  </w:style>
  <w:style w:type="character" w:customStyle="1" w:styleId="af3">
    <w:name w:val="副標題 字元"/>
    <w:basedOn w:val="a0"/>
    <w:link w:val="af2"/>
    <w:rsid w:val="00257408"/>
    <w:rPr>
      <w:rFonts w:eastAsia="標楷體" w:hAnsi="標楷體"/>
      <w:b/>
      <w:color w:val="FF0000"/>
      <w:kern w:val="2"/>
      <w:sz w:val="24"/>
    </w:rPr>
  </w:style>
  <w:style w:type="table" w:styleId="af4">
    <w:name w:val="Table Grid"/>
    <w:basedOn w:val="a1"/>
    <w:rsid w:val="005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5D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9162">
      <w:bodyDiv w:val="1"/>
      <w:marLeft w:val="0"/>
      <w:marRight w:val="0"/>
      <w:marTop w:val="0"/>
      <w:marBottom w:val="0"/>
      <w:divBdr>
        <w:top w:val="none" w:sz="0" w:space="0" w:color="auto"/>
        <w:left w:val="none" w:sz="0" w:space="0" w:color="auto"/>
        <w:bottom w:val="none" w:sz="0" w:space="0" w:color="auto"/>
        <w:right w:val="none" w:sz="0" w:space="0" w:color="auto"/>
      </w:divBdr>
    </w:div>
    <w:div w:id="614557706">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5921</Characters>
  <Application>Microsoft Office Word</Application>
  <DocSecurity>0</DocSecurity>
  <Lines>49</Lines>
  <Paragraphs>13</Paragraphs>
  <ScaleCrop>false</ScaleCrop>
  <Company>888TIGER</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2024-05-17T07:05:00Z</dcterms:created>
  <dcterms:modified xsi:type="dcterms:W3CDTF">2024-05-17T07:05:00Z</dcterms:modified>
</cp:coreProperties>
</file>