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CD" w:rsidRPr="00D871EA" w:rsidRDefault="006801CD" w:rsidP="006801CD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871EA">
        <w:rPr>
          <w:rFonts w:eastAsia="標楷體"/>
          <w:b/>
          <w:sz w:val="28"/>
          <w:szCs w:val="28"/>
        </w:rPr>
        <w:t>元智大學工業工程與管理</w:t>
      </w:r>
      <w:r w:rsidRPr="00D871EA">
        <w:rPr>
          <w:rFonts w:eastAsia="標楷體"/>
          <w:b/>
          <w:sz w:val="28"/>
          <w:szCs w:val="28"/>
          <w:lang w:eastAsia="zh-HK"/>
        </w:rPr>
        <w:t>學系</w:t>
      </w:r>
      <w:r w:rsidRPr="00D871EA">
        <w:rPr>
          <w:rFonts w:eastAsia="標楷體"/>
          <w:b/>
          <w:sz w:val="28"/>
          <w:szCs w:val="28"/>
        </w:rPr>
        <w:t>碩士班</w:t>
      </w:r>
      <w:r w:rsidRPr="00D871EA">
        <w:rPr>
          <w:rFonts w:eastAsia="標楷體"/>
          <w:b/>
          <w:sz w:val="28"/>
          <w:szCs w:val="28"/>
        </w:rPr>
        <w:t xml:space="preserve"> </w:t>
      </w:r>
      <w:r w:rsidRPr="00D871EA">
        <w:rPr>
          <w:rFonts w:eastAsia="標楷體"/>
          <w:b/>
          <w:sz w:val="28"/>
          <w:szCs w:val="28"/>
        </w:rPr>
        <w:t>必修科目表</w:t>
      </w:r>
    </w:p>
    <w:p w:rsidR="006801CD" w:rsidRDefault="006801CD" w:rsidP="006801CD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871EA">
        <w:rPr>
          <w:rFonts w:eastAsia="標楷體"/>
          <w:b/>
          <w:sz w:val="28"/>
          <w:szCs w:val="28"/>
        </w:rPr>
        <w:t>（</w:t>
      </w:r>
      <w:r w:rsidRPr="00D871E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1</w:t>
      </w:r>
      <w:r w:rsidRPr="00D871EA">
        <w:rPr>
          <w:rFonts w:eastAsia="標楷體"/>
          <w:b/>
          <w:sz w:val="28"/>
          <w:szCs w:val="28"/>
        </w:rPr>
        <w:t>學年度入學新生適用）</w:t>
      </w:r>
    </w:p>
    <w:p w:rsidR="00BC5EE3" w:rsidRPr="00BB1DFA" w:rsidRDefault="00BC5EE3" w:rsidP="00BC5EE3">
      <w:pPr>
        <w:snapToGrid w:val="0"/>
        <w:spacing w:after="60"/>
        <w:jc w:val="center"/>
        <w:rPr>
          <w:rFonts w:eastAsia="標楷體"/>
          <w:sz w:val="22"/>
          <w:szCs w:val="22"/>
        </w:rPr>
      </w:pPr>
      <w:r w:rsidRPr="00BB1DFA">
        <w:rPr>
          <w:rFonts w:eastAsia="標楷體"/>
          <w:sz w:val="22"/>
          <w:szCs w:val="22"/>
        </w:rPr>
        <w:t>List of Required Courses for Master Program of</w:t>
      </w:r>
    </w:p>
    <w:p w:rsidR="00BC5EE3" w:rsidRPr="00BB1DFA" w:rsidRDefault="00BC5EE3" w:rsidP="00BC5EE3">
      <w:pPr>
        <w:snapToGrid w:val="0"/>
        <w:spacing w:after="60"/>
        <w:jc w:val="center"/>
        <w:rPr>
          <w:rFonts w:eastAsia="標楷體"/>
          <w:sz w:val="22"/>
          <w:szCs w:val="22"/>
        </w:rPr>
      </w:pPr>
      <w:r w:rsidRPr="00BB1DFA">
        <w:rPr>
          <w:rFonts w:eastAsia="標楷體"/>
          <w:sz w:val="22"/>
          <w:szCs w:val="22"/>
        </w:rPr>
        <w:t>Industrial Engineering and Management at Yuan Ze University</w:t>
      </w:r>
    </w:p>
    <w:p w:rsidR="00BC5EE3" w:rsidRPr="00BB1DFA" w:rsidRDefault="00BC5EE3" w:rsidP="00BC5EE3">
      <w:pPr>
        <w:snapToGrid w:val="0"/>
        <w:spacing w:after="60"/>
        <w:jc w:val="center"/>
        <w:rPr>
          <w:rFonts w:eastAsia="標楷體"/>
          <w:sz w:val="22"/>
          <w:szCs w:val="22"/>
        </w:rPr>
      </w:pPr>
      <w:r w:rsidRPr="00BB1DFA">
        <w:rPr>
          <w:rFonts w:eastAsia="標楷體" w:hint="eastAsia"/>
          <w:sz w:val="22"/>
          <w:szCs w:val="22"/>
        </w:rPr>
        <w:t>（</w:t>
      </w:r>
      <w:r w:rsidRPr="00BB1DFA">
        <w:rPr>
          <w:rFonts w:eastAsia="標楷體" w:hint="eastAsia"/>
          <w:sz w:val="22"/>
          <w:szCs w:val="22"/>
        </w:rPr>
        <w:t>Applicable to Students Admitted for Academic year of 2022-2023</w:t>
      </w:r>
      <w:r w:rsidRPr="00BB1DFA">
        <w:rPr>
          <w:rFonts w:eastAsia="標楷體" w:hint="eastAsia"/>
          <w:sz w:val="22"/>
          <w:szCs w:val="22"/>
        </w:rPr>
        <w:t>）</w:t>
      </w:r>
    </w:p>
    <w:p w:rsidR="00797D9B" w:rsidRPr="00BB1DFA" w:rsidRDefault="00797D9B" w:rsidP="00BB1DFA">
      <w:pPr>
        <w:spacing w:line="240" w:lineRule="exact"/>
        <w:ind w:leftChars="1063" w:left="2551" w:rightChars="-257" w:right="-617"/>
        <w:jc w:val="right"/>
        <w:rPr>
          <w:rFonts w:eastAsia="標楷體"/>
          <w:sz w:val="18"/>
          <w:szCs w:val="18"/>
          <w:lang w:eastAsia="zh-CN"/>
        </w:rPr>
      </w:pPr>
      <w:r w:rsidRPr="00BB1DFA">
        <w:rPr>
          <w:rFonts w:eastAsia="標楷體"/>
          <w:sz w:val="18"/>
          <w:szCs w:val="18"/>
        </w:rPr>
        <w:t xml:space="preserve">111.04.20 </w:t>
      </w:r>
      <w:r w:rsidRPr="00BB1DFA">
        <w:rPr>
          <w:rFonts w:eastAsia="標楷體"/>
          <w:sz w:val="18"/>
          <w:szCs w:val="18"/>
          <w:lang w:eastAsia="zh-CN"/>
        </w:rPr>
        <w:t>一</w:t>
      </w:r>
      <w:r w:rsidRPr="00BB1DFA">
        <w:rPr>
          <w:rFonts w:eastAsia="標楷體"/>
          <w:sz w:val="18"/>
          <w:szCs w:val="18"/>
        </w:rPr>
        <w:t>一</w:t>
      </w:r>
      <w:r w:rsidRPr="00BB1DFA">
        <w:rPr>
          <w:rFonts w:eastAsia="標楷體"/>
          <w:sz w:val="18"/>
          <w:szCs w:val="18"/>
        </w:rPr>
        <w:t>○</w:t>
      </w:r>
      <w:r w:rsidRPr="00BB1DFA">
        <w:rPr>
          <w:rFonts w:eastAsia="標楷體"/>
          <w:sz w:val="18"/>
          <w:szCs w:val="18"/>
          <w:lang w:eastAsia="zh-CN"/>
        </w:rPr>
        <w:t>學年度第</w:t>
      </w:r>
      <w:r w:rsidRPr="00BB1DFA">
        <w:rPr>
          <w:rFonts w:eastAsia="標楷體"/>
          <w:sz w:val="18"/>
          <w:szCs w:val="18"/>
        </w:rPr>
        <w:t>六</w:t>
      </w:r>
      <w:r w:rsidRPr="00BB1DFA">
        <w:rPr>
          <w:rFonts w:eastAsia="標楷體"/>
          <w:sz w:val="18"/>
          <w:szCs w:val="18"/>
          <w:lang w:eastAsia="zh-CN"/>
        </w:rPr>
        <w:t>次教務會議通過</w:t>
      </w:r>
    </w:p>
    <w:p w:rsidR="005A0CC6" w:rsidRPr="00BB1DFA" w:rsidRDefault="00797D9B" w:rsidP="00BB1DFA">
      <w:pPr>
        <w:spacing w:line="240" w:lineRule="exact"/>
        <w:ind w:leftChars="1063" w:left="2551" w:rightChars="-257" w:right="-617"/>
        <w:jc w:val="right"/>
        <w:rPr>
          <w:rFonts w:eastAsia="標楷體"/>
          <w:sz w:val="18"/>
          <w:szCs w:val="18"/>
        </w:rPr>
      </w:pPr>
      <w:r w:rsidRPr="00BB1DFA">
        <w:rPr>
          <w:rFonts w:eastAsia="標楷體"/>
          <w:sz w:val="18"/>
          <w:szCs w:val="18"/>
        </w:rPr>
        <w:t>Passed by the 6th Academic Affairs Meeting, Academic Year 2021, on April 20, 2022</w:t>
      </w:r>
    </w:p>
    <w:p w:rsidR="00BB1DFA" w:rsidRPr="00BB1DFA" w:rsidRDefault="00BB1DFA" w:rsidP="00BB1DFA">
      <w:pPr>
        <w:spacing w:line="240" w:lineRule="exact"/>
        <w:ind w:leftChars="1063" w:left="2551" w:rightChars="-257" w:right="-617"/>
        <w:jc w:val="right"/>
        <w:rPr>
          <w:rFonts w:eastAsia="標楷體"/>
          <w:sz w:val="18"/>
          <w:szCs w:val="18"/>
        </w:rPr>
      </w:pPr>
      <w:r w:rsidRPr="00BB1DFA">
        <w:rPr>
          <w:rFonts w:eastAsia="標楷體"/>
          <w:sz w:val="18"/>
          <w:szCs w:val="18"/>
        </w:rPr>
        <w:t xml:space="preserve">112.04.19 </w:t>
      </w:r>
      <w:r w:rsidRPr="00BB1DFA">
        <w:rPr>
          <w:rFonts w:eastAsia="標楷體"/>
          <w:sz w:val="18"/>
          <w:szCs w:val="18"/>
        </w:rPr>
        <w:t>一一一學年度第六次教務會議通過</w:t>
      </w:r>
    </w:p>
    <w:p w:rsidR="00BB1DFA" w:rsidRPr="00BB1DFA" w:rsidRDefault="00BB1DFA" w:rsidP="00BB1DFA">
      <w:pPr>
        <w:spacing w:line="240" w:lineRule="exact"/>
        <w:ind w:leftChars="1063" w:left="2551" w:rightChars="-257" w:right="-617"/>
        <w:jc w:val="right"/>
        <w:rPr>
          <w:rFonts w:eastAsia="標楷體"/>
          <w:sz w:val="18"/>
          <w:szCs w:val="18"/>
        </w:rPr>
      </w:pPr>
      <w:r w:rsidRPr="00BB1DFA">
        <w:rPr>
          <w:rFonts w:eastAsia="標楷體"/>
          <w:sz w:val="18"/>
          <w:szCs w:val="18"/>
        </w:rPr>
        <w:t>Amended by the 6th Academic Affairs Meeting, Academic Year 2022, on April 19, 2023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6"/>
        <w:gridCol w:w="1828"/>
        <w:gridCol w:w="1829"/>
        <w:gridCol w:w="2353"/>
        <w:gridCol w:w="2353"/>
      </w:tblGrid>
      <w:tr w:rsidR="00D976D8" w:rsidRPr="00D976D8" w:rsidTr="00BC5EE3">
        <w:trPr>
          <w:cantSplit/>
          <w:trHeight w:hRule="exact" w:val="417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BB1DFA">
        <w:trPr>
          <w:cantSplit/>
          <w:trHeight w:val="431"/>
          <w:jc w:val="center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BB1DFA">
        <w:trPr>
          <w:cantSplit/>
          <w:trHeight w:hRule="exact" w:val="1115"/>
          <w:jc w:val="center"/>
        </w:trPr>
        <w:tc>
          <w:tcPr>
            <w:tcW w:w="126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BC5EE3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必修</w:t>
            </w:r>
          </w:p>
          <w:p w:rsidR="009403A8" w:rsidRPr="00D976D8" w:rsidRDefault="009403A8" w:rsidP="00BC5EE3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  <w:p w:rsidR="009403A8" w:rsidRPr="00D976D8" w:rsidRDefault="00F437C8" w:rsidP="00BC5EE3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BB1DFA">
        <w:trPr>
          <w:cantSplit/>
          <w:trHeight w:hRule="exact" w:val="516"/>
          <w:jc w:val="center"/>
        </w:trPr>
        <w:tc>
          <w:tcPr>
            <w:tcW w:w="126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BC5EE3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BC5EE3" w:rsidRDefault="009403A8" w:rsidP="00BC5E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801C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6801CD" w:rsidRDefault="009403A8" w:rsidP="009403A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801C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6801CD" w:rsidRDefault="009403A8" w:rsidP="009403A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801CD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6801CD" w:rsidRDefault="009403A8" w:rsidP="009403A8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801CD">
              <w:rPr>
                <w:rFonts w:eastAsia="標楷體"/>
                <w:sz w:val="22"/>
                <w:szCs w:val="22"/>
              </w:rPr>
              <w:t>0</w:t>
            </w:r>
          </w:p>
        </w:tc>
      </w:tr>
      <w:tr w:rsidR="00D976D8" w:rsidRPr="00D976D8" w:rsidTr="00BC5EE3">
        <w:trPr>
          <w:cantSplit/>
          <w:trHeight w:hRule="exact" w:val="8753"/>
          <w:jc w:val="center"/>
        </w:trPr>
        <w:tc>
          <w:tcPr>
            <w:tcW w:w="126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326CB6" w:rsidRDefault="009403A8" w:rsidP="00326CB6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 w:right="132"/>
              <w:rPr>
                <w:rFonts w:eastAsia="標楷體"/>
                <w:b/>
                <w:sz w:val="22"/>
              </w:rPr>
            </w:pPr>
            <w:r w:rsidRPr="00326CB6">
              <w:rPr>
                <w:rFonts w:eastAsia="標楷體" w:hAnsi="標楷體" w:hint="eastAsia"/>
                <w:b/>
                <w:bCs/>
                <w:sz w:val="22"/>
              </w:rPr>
              <w:t>最低畢業學分：</w:t>
            </w:r>
          </w:p>
          <w:p w:rsidR="009403A8" w:rsidRPr="00326CB6" w:rsidRDefault="009403A8" w:rsidP="00326CB6">
            <w:pPr>
              <w:snapToGrid w:val="0"/>
              <w:spacing w:line="320" w:lineRule="exact"/>
              <w:ind w:left="147" w:right="132" w:firstLineChars="200" w:firstLine="440"/>
              <w:rPr>
                <w:rFonts w:eastAsia="標楷體"/>
                <w:b/>
                <w:sz w:val="22"/>
                <w:szCs w:val="22"/>
              </w:rPr>
            </w:pP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必修</w:t>
            </w:r>
            <w:r w:rsidRPr="00326CB6">
              <w:rPr>
                <w:rFonts w:eastAsia="標楷體"/>
                <w:b/>
                <w:bCs/>
                <w:sz w:val="22"/>
                <w:szCs w:val="22"/>
              </w:rPr>
              <w:t>5</w:t>
            </w: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學分＋選修</w:t>
            </w:r>
            <w:r w:rsidRPr="00326CB6">
              <w:rPr>
                <w:rFonts w:eastAsia="標楷體"/>
                <w:b/>
                <w:bCs/>
                <w:sz w:val="22"/>
                <w:szCs w:val="22"/>
              </w:rPr>
              <w:t>24</w:t>
            </w: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學分</w:t>
            </w:r>
            <w:r w:rsidR="00A0399A" w:rsidRPr="00326CB6">
              <w:rPr>
                <w:rFonts w:eastAsia="標楷體" w:hint="eastAsia"/>
                <w:b/>
                <w:bCs/>
                <w:sz w:val="22"/>
                <w:szCs w:val="22"/>
              </w:rPr>
              <w:t>＋</w:t>
            </w: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碩士論文</w:t>
            </w:r>
            <w:r w:rsidRPr="00326CB6">
              <w:rPr>
                <w:rFonts w:eastAsia="標楷體"/>
                <w:b/>
                <w:bCs/>
                <w:sz w:val="22"/>
                <w:szCs w:val="22"/>
              </w:rPr>
              <w:t>6</w:t>
            </w: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學分，共計</w:t>
            </w:r>
            <w:r w:rsidRPr="00326CB6">
              <w:rPr>
                <w:rFonts w:eastAsia="標楷體"/>
                <w:b/>
                <w:bCs/>
                <w:sz w:val="22"/>
                <w:szCs w:val="22"/>
              </w:rPr>
              <w:t>35</w:t>
            </w:r>
            <w:r w:rsidRPr="00326CB6">
              <w:rPr>
                <w:rFonts w:eastAsia="標楷體" w:hAnsi="標楷體" w:hint="eastAsia"/>
                <w:b/>
                <w:bCs/>
                <w:sz w:val="22"/>
                <w:szCs w:val="22"/>
              </w:rPr>
              <w:t>學分</w:t>
            </w:r>
          </w:p>
          <w:p w:rsidR="009403A8" w:rsidRPr="00326CB6" w:rsidRDefault="009403A8" w:rsidP="0070058A">
            <w:pPr>
              <w:pStyle w:val="a9"/>
              <w:snapToGrid w:val="0"/>
              <w:spacing w:line="320" w:lineRule="exact"/>
              <w:ind w:leftChars="0" w:left="627" w:right="319"/>
              <w:jc w:val="both"/>
              <w:rPr>
                <w:rFonts w:eastAsia="標楷體"/>
                <w:sz w:val="20"/>
              </w:rPr>
            </w:pPr>
            <w:r w:rsidRPr="00326CB6">
              <w:rPr>
                <w:rFonts w:eastAsia="標楷體" w:hAnsi="標楷體" w:hint="eastAsia"/>
                <w:sz w:val="20"/>
              </w:rPr>
              <w:t>須修畢上學期</w:t>
            </w:r>
            <w:r w:rsidRPr="00326CB6">
              <w:rPr>
                <w:rFonts w:eastAsia="標楷體"/>
                <w:sz w:val="20"/>
              </w:rPr>
              <w:t>2</w:t>
            </w:r>
            <w:r w:rsidRPr="00326CB6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326CB6">
              <w:rPr>
                <w:rFonts w:eastAsia="標楷體"/>
                <w:sz w:val="20"/>
              </w:rPr>
              <w:t>3</w:t>
            </w:r>
            <w:r w:rsidRPr="00326CB6">
              <w:rPr>
                <w:rFonts w:eastAsia="標楷體" w:hAnsi="標楷體" w:hint="eastAsia"/>
                <w:sz w:val="20"/>
              </w:rPr>
              <w:t>學分的研究方法論、及</w:t>
            </w:r>
            <w:r w:rsidRPr="00326CB6">
              <w:rPr>
                <w:rFonts w:eastAsia="標楷體"/>
                <w:sz w:val="20"/>
              </w:rPr>
              <w:t>8</w:t>
            </w:r>
            <w:r w:rsidRPr="00326CB6">
              <w:rPr>
                <w:rFonts w:eastAsia="標楷體" w:hAnsi="標楷體" w:hint="eastAsia"/>
                <w:sz w:val="20"/>
              </w:rPr>
              <w:t>門選修課</w:t>
            </w:r>
            <w:r w:rsidRPr="00326CB6">
              <w:rPr>
                <w:rFonts w:eastAsia="標楷體"/>
                <w:sz w:val="20"/>
              </w:rPr>
              <w:t>24</w:t>
            </w:r>
            <w:r w:rsidRPr="00326CB6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326CB6">
              <w:rPr>
                <w:rFonts w:eastAsia="標楷體"/>
                <w:sz w:val="20"/>
              </w:rPr>
              <w:t>1</w:t>
            </w:r>
            <w:r w:rsidRPr="00326CB6">
              <w:rPr>
                <w:rFonts w:eastAsia="標楷體" w:hAnsi="標楷體" w:hint="eastAsia"/>
                <w:sz w:val="20"/>
              </w:rPr>
              <w:t>門課，共</w:t>
            </w:r>
            <w:r w:rsidRPr="00326CB6">
              <w:rPr>
                <w:rFonts w:eastAsia="標楷體"/>
                <w:sz w:val="20"/>
              </w:rPr>
              <w:t>5</w:t>
            </w:r>
            <w:r w:rsidRPr="00326CB6">
              <w:rPr>
                <w:rFonts w:eastAsia="標楷體" w:hAnsi="標楷體" w:hint="eastAsia"/>
                <w:sz w:val="20"/>
              </w:rPr>
              <w:t>門課；其餘</w:t>
            </w:r>
            <w:r w:rsidRPr="00326CB6">
              <w:rPr>
                <w:rFonts w:eastAsia="標楷體"/>
                <w:sz w:val="20"/>
              </w:rPr>
              <w:t>3</w:t>
            </w:r>
            <w:r w:rsidRPr="00326CB6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326CB6" w:rsidRDefault="009403A8" w:rsidP="0070058A">
            <w:pPr>
              <w:pStyle w:val="a9"/>
              <w:snapToGrid w:val="0"/>
              <w:spacing w:line="320" w:lineRule="exact"/>
              <w:ind w:leftChars="0" w:left="627" w:right="319"/>
              <w:jc w:val="both"/>
              <w:rPr>
                <w:rFonts w:eastAsia="標楷體" w:hAnsi="標楷體"/>
                <w:sz w:val="20"/>
              </w:rPr>
            </w:pPr>
            <w:r w:rsidRPr="00326CB6">
              <w:rPr>
                <w:rFonts w:eastAsia="標楷體" w:hAnsi="標楷體" w:hint="eastAsia"/>
                <w:sz w:val="20"/>
              </w:rPr>
              <w:t>※非工業工程或工業管理相關學系畢業之碩士班學生，必須選擇下列其中一方案進行課程補修：</w:t>
            </w:r>
          </w:p>
          <w:p w:rsidR="009403A8" w:rsidRPr="00326CB6" w:rsidRDefault="009403A8" w:rsidP="0070058A">
            <w:pPr>
              <w:pStyle w:val="a9"/>
              <w:snapToGrid w:val="0"/>
              <w:spacing w:line="320" w:lineRule="exact"/>
              <w:ind w:leftChars="0" w:left="627" w:right="319"/>
              <w:jc w:val="both"/>
              <w:rPr>
                <w:rFonts w:eastAsia="標楷體" w:hAnsi="標楷體"/>
                <w:sz w:val="20"/>
              </w:rPr>
            </w:pPr>
            <w:r w:rsidRPr="00326CB6">
              <w:rPr>
                <w:rFonts w:eastAsia="標楷體" w:hAnsi="標楷體"/>
                <w:sz w:val="20"/>
              </w:rPr>
              <w:t>A</w:t>
            </w:r>
            <w:r w:rsidRPr="00326CB6">
              <w:rPr>
                <w:rFonts w:eastAsia="標楷體" w:hAnsi="標楷體" w:hint="eastAsia"/>
                <w:sz w:val="20"/>
              </w:rPr>
              <w:t>、選修大學部【生產計劃與管理】課程及下列研究所課程中的任一科：【</w:t>
            </w:r>
            <w:r w:rsidRPr="00326CB6">
              <w:rPr>
                <w:rFonts w:eastAsia="標楷體" w:hAnsi="標楷體"/>
                <w:sz w:val="20"/>
              </w:rPr>
              <w:t>IE531</w:t>
            </w:r>
            <w:r w:rsidRPr="00326CB6">
              <w:rPr>
                <w:rFonts w:eastAsia="標楷體" w:hAnsi="標楷體" w:hint="eastAsia"/>
                <w:sz w:val="20"/>
              </w:rPr>
              <w:t>高等品質管制】、【</w:t>
            </w:r>
            <w:r w:rsidRPr="00326CB6">
              <w:rPr>
                <w:rFonts w:eastAsia="標楷體" w:hAnsi="標楷體"/>
                <w:sz w:val="20"/>
              </w:rPr>
              <w:t>IE538</w:t>
            </w:r>
            <w:r w:rsidRPr="00326CB6">
              <w:rPr>
                <w:rFonts w:eastAsia="標楷體" w:hAnsi="標楷體" w:hint="eastAsia"/>
                <w:sz w:val="20"/>
              </w:rPr>
              <w:t>實驗設計】或【</w:t>
            </w:r>
            <w:r w:rsidRPr="00326CB6">
              <w:rPr>
                <w:rFonts w:eastAsia="標楷體" w:hAnsi="標楷體"/>
                <w:sz w:val="20"/>
              </w:rPr>
              <w:t>IE520</w:t>
            </w:r>
            <w:r w:rsidRPr="00326CB6">
              <w:rPr>
                <w:rFonts w:eastAsia="標楷體" w:hAnsi="標楷體" w:hint="eastAsia"/>
                <w:sz w:val="20"/>
              </w:rPr>
              <w:t>田口式品質工程】。</w:t>
            </w:r>
          </w:p>
          <w:p w:rsidR="009403A8" w:rsidRPr="00326CB6" w:rsidRDefault="009403A8" w:rsidP="0070058A">
            <w:pPr>
              <w:pStyle w:val="a9"/>
              <w:snapToGrid w:val="0"/>
              <w:spacing w:line="320" w:lineRule="exact"/>
              <w:ind w:leftChars="0" w:left="627" w:right="319"/>
              <w:jc w:val="both"/>
              <w:rPr>
                <w:rFonts w:eastAsia="標楷體" w:hAnsi="標楷體"/>
                <w:sz w:val="20"/>
              </w:rPr>
            </w:pPr>
            <w:r w:rsidRPr="00326CB6">
              <w:rPr>
                <w:rFonts w:eastAsia="標楷體" w:hAnsi="標楷體"/>
                <w:sz w:val="20"/>
              </w:rPr>
              <w:t>B</w:t>
            </w:r>
            <w:r w:rsidRPr="00326CB6">
              <w:rPr>
                <w:rFonts w:eastAsia="標楷體" w:hAnsi="標楷體" w:hint="eastAsia"/>
                <w:sz w:val="20"/>
              </w:rPr>
              <w:t>、選修大學部【品質管制】課程及下列研究所課程中的任一科：【</w:t>
            </w:r>
            <w:r w:rsidRPr="00326CB6">
              <w:rPr>
                <w:rFonts w:eastAsia="標楷體" w:hAnsi="標楷體"/>
                <w:sz w:val="20"/>
              </w:rPr>
              <w:t>IE534</w:t>
            </w:r>
            <w:r w:rsidRPr="00326CB6">
              <w:rPr>
                <w:rFonts w:eastAsia="標楷體" w:hAnsi="標楷體" w:hint="eastAsia"/>
                <w:sz w:val="20"/>
              </w:rPr>
              <w:t>生產排程】、【</w:t>
            </w:r>
            <w:r w:rsidRPr="00326CB6">
              <w:rPr>
                <w:rFonts w:eastAsia="標楷體" w:hAnsi="標楷體"/>
                <w:sz w:val="20"/>
              </w:rPr>
              <w:t>IE593</w:t>
            </w:r>
            <w:r w:rsidRPr="00326CB6">
              <w:rPr>
                <w:rFonts w:eastAsia="標楷體" w:hAnsi="標楷體" w:hint="eastAsia"/>
                <w:sz w:val="20"/>
              </w:rPr>
              <w:t>高等生產管制】或【</w:t>
            </w:r>
            <w:r w:rsidRPr="00326CB6">
              <w:rPr>
                <w:rFonts w:eastAsia="標楷體" w:hAnsi="標楷體"/>
                <w:sz w:val="20"/>
              </w:rPr>
              <w:t>IE543</w:t>
            </w:r>
            <w:r w:rsidRPr="00326CB6">
              <w:rPr>
                <w:rFonts w:eastAsia="標楷體" w:hAnsi="標楷體" w:hint="eastAsia"/>
                <w:sz w:val="20"/>
              </w:rPr>
              <w:t>生產計劃】。</w:t>
            </w:r>
          </w:p>
          <w:p w:rsidR="00326CB6" w:rsidRPr="0030705A" w:rsidRDefault="00326CB6" w:rsidP="0070058A">
            <w:pPr>
              <w:pStyle w:val="a9"/>
              <w:spacing w:line="320" w:lineRule="exact"/>
              <w:ind w:leftChars="0" w:left="557" w:rightChars="132" w:right="3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30705A">
              <w:rPr>
                <w:rFonts w:ascii="Times New Roman" w:eastAsia="標楷體" w:hAnsi="Times New Roman" w:cs="Times New Roman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326CB6" w:rsidRPr="00326CB6" w:rsidRDefault="00326CB6" w:rsidP="00326CB6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 w:right="132"/>
              <w:rPr>
                <w:rFonts w:eastAsia="標楷體" w:hAnsi="標楷體"/>
                <w:b/>
                <w:bCs/>
                <w:sz w:val="22"/>
              </w:rPr>
            </w:pPr>
            <w:r w:rsidRPr="00326CB6">
              <w:rPr>
                <w:rFonts w:eastAsia="標楷體" w:hAnsi="標楷體"/>
                <w:b/>
                <w:bCs/>
                <w:sz w:val="22"/>
              </w:rPr>
              <w:t>碩士論文提案</w:t>
            </w:r>
            <w:r w:rsidRPr="00326CB6">
              <w:rPr>
                <w:rFonts w:eastAsia="標楷體" w:hAnsi="標楷體"/>
                <w:b/>
                <w:bCs/>
                <w:sz w:val="22"/>
              </w:rPr>
              <w:t xml:space="preserve"> (Proposal) </w:t>
            </w:r>
            <w:r w:rsidRPr="00326CB6">
              <w:rPr>
                <w:rFonts w:eastAsia="標楷體" w:hAnsi="標楷體"/>
                <w:b/>
                <w:bCs/>
                <w:sz w:val="22"/>
              </w:rPr>
              <w:t>考試：</w:t>
            </w:r>
          </w:p>
          <w:p w:rsidR="00326CB6" w:rsidRPr="00550AEC" w:rsidRDefault="00326CB6" w:rsidP="00550AEC">
            <w:pPr>
              <w:tabs>
                <w:tab w:val="left" w:pos="8070"/>
              </w:tabs>
              <w:snapToGrid w:val="0"/>
              <w:spacing w:line="320" w:lineRule="exact"/>
              <w:ind w:left="556" w:rightChars="98" w:right="235"/>
              <w:jc w:val="both"/>
              <w:rPr>
                <w:rFonts w:eastAsia="標楷體"/>
                <w:sz w:val="20"/>
              </w:rPr>
            </w:pPr>
            <w:r w:rsidRPr="00550AEC">
              <w:rPr>
                <w:rFonts w:eastAsia="標楷體"/>
                <w:sz w:val="20"/>
              </w:rPr>
              <w:t>碩士</w:t>
            </w:r>
            <w:r w:rsidRPr="00550AEC">
              <w:rPr>
                <w:rFonts w:eastAsia="標楷體"/>
                <w:sz w:val="20"/>
                <w:lang w:eastAsia="zh-HK"/>
              </w:rPr>
              <w:t>生</w:t>
            </w:r>
            <w:r w:rsidRPr="00550AEC">
              <w:rPr>
                <w:rFonts w:eastAsia="標楷體"/>
                <w:sz w:val="20"/>
              </w:rPr>
              <w:t>需於研究所第一學期開學後一個月內選定指導教授，並繳交指導教授同意書至系辦公室。論文提案審查委員會由本所二人（含指導教授）專任助理教授級以上教師組成，針對論文提案進行審查口試及專業領域相符性檢核，論文提案與畢業論文口試至少需間隔二個月以上。</w:t>
            </w:r>
          </w:p>
          <w:p w:rsidR="00326CB6" w:rsidRPr="00326CB6" w:rsidRDefault="00326CB6" w:rsidP="00326CB6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 w:right="132"/>
              <w:rPr>
                <w:rFonts w:eastAsia="標楷體" w:hAnsi="標楷體"/>
                <w:b/>
                <w:bCs/>
                <w:sz w:val="22"/>
              </w:rPr>
            </w:pPr>
            <w:r w:rsidRPr="00326CB6">
              <w:rPr>
                <w:rFonts w:eastAsia="標楷體" w:hAnsi="標楷體"/>
                <w:b/>
                <w:bCs/>
                <w:sz w:val="22"/>
              </w:rPr>
              <w:t>碩士學位考試：</w:t>
            </w:r>
          </w:p>
          <w:p w:rsidR="002C6D17" w:rsidRPr="00326CB6" w:rsidRDefault="00550AEC" w:rsidP="00550AEC">
            <w:pPr>
              <w:tabs>
                <w:tab w:val="left" w:pos="8070"/>
              </w:tabs>
              <w:snapToGrid w:val="0"/>
              <w:spacing w:line="320" w:lineRule="exact"/>
              <w:ind w:left="556" w:rightChars="98" w:right="235"/>
              <w:jc w:val="both"/>
              <w:rPr>
                <w:rFonts w:eastAsia="標楷體"/>
                <w:sz w:val="18"/>
                <w:szCs w:val="18"/>
              </w:rPr>
            </w:pPr>
            <w:r w:rsidRPr="00550AEC">
              <w:rPr>
                <w:rFonts w:eastAsia="標楷體" w:hint="eastAsia"/>
                <w:sz w:val="20"/>
              </w:rPr>
              <w:t>畢業論文口試依校方規定期限內完成「研究生學位考試線上申請」，碩士學位考試委員會置委員三至五人；學生應於學位考試前完成論文原創性比對作業，比對報告標準以不超過</w:t>
            </w:r>
            <w:r w:rsidRPr="00550AEC">
              <w:rPr>
                <w:rFonts w:eastAsia="標楷體"/>
                <w:sz w:val="20"/>
              </w:rPr>
              <w:t>20%</w:t>
            </w:r>
            <w:r w:rsidRPr="00550AEC">
              <w:rPr>
                <w:rFonts w:eastAsia="標楷體" w:hint="eastAsia"/>
                <w:sz w:val="20"/>
              </w:rPr>
              <w:t>為原則，並於學位考試當日將「學位論文原創性比對報告書」送交指導教授及學位考試委員參考，進行畢業論文口試及專業領域相符性檢核。完成學位考試後，研究生需再次將最終定稿的論文進行原創性比對作業，並由指導教授確認後，將「學位論文定稿原創性比對檢核表」、「學位論文原創性比對報告書」、及論文送交系辦公室備查。學位考試其他未盡事宜，悉依本校「學則」暨「碩、博士班研究生學位考試細則」辦理。</w:t>
            </w:r>
          </w:p>
        </w:tc>
      </w:tr>
    </w:tbl>
    <w:p w:rsidR="006801CD" w:rsidRPr="00D871EA" w:rsidRDefault="009403A8" w:rsidP="006801CD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976D8">
        <w:rPr>
          <w:rFonts w:eastAsia="標楷體"/>
        </w:rPr>
        <w:br w:type="page"/>
      </w:r>
      <w:r w:rsidR="006801CD" w:rsidRPr="00D871EA">
        <w:rPr>
          <w:rFonts w:eastAsia="標楷體"/>
          <w:b/>
          <w:sz w:val="28"/>
          <w:szCs w:val="28"/>
        </w:rPr>
        <w:lastRenderedPageBreak/>
        <w:t>元智大學工業工程與管理</w:t>
      </w:r>
      <w:r w:rsidR="006801CD" w:rsidRPr="00D871EA">
        <w:rPr>
          <w:rFonts w:eastAsia="標楷體"/>
          <w:b/>
          <w:sz w:val="28"/>
          <w:szCs w:val="28"/>
          <w:lang w:eastAsia="zh-HK"/>
        </w:rPr>
        <w:t>學系</w:t>
      </w:r>
      <w:r w:rsidR="006801CD" w:rsidRPr="00D871EA">
        <w:rPr>
          <w:rFonts w:eastAsia="標楷體"/>
          <w:b/>
          <w:sz w:val="28"/>
          <w:szCs w:val="28"/>
        </w:rPr>
        <w:t>碩士班</w:t>
      </w:r>
      <w:r w:rsidR="006801CD" w:rsidRPr="00D871EA">
        <w:rPr>
          <w:rFonts w:eastAsia="標楷體"/>
          <w:b/>
          <w:sz w:val="28"/>
          <w:szCs w:val="28"/>
        </w:rPr>
        <w:t xml:space="preserve"> </w:t>
      </w:r>
      <w:r w:rsidR="006801CD">
        <w:rPr>
          <w:rFonts w:eastAsia="標楷體" w:hint="eastAsia"/>
          <w:b/>
          <w:sz w:val="28"/>
          <w:szCs w:val="28"/>
          <w:lang w:eastAsia="zh-HK"/>
        </w:rPr>
        <w:t>選</w:t>
      </w:r>
      <w:r w:rsidR="006801CD" w:rsidRPr="00D871EA">
        <w:rPr>
          <w:rFonts w:eastAsia="標楷體"/>
          <w:b/>
          <w:sz w:val="28"/>
          <w:szCs w:val="28"/>
        </w:rPr>
        <w:t>修科目表</w:t>
      </w:r>
    </w:p>
    <w:p w:rsidR="006801CD" w:rsidRPr="00D871EA" w:rsidRDefault="006801CD" w:rsidP="006801CD">
      <w:pPr>
        <w:snapToGrid w:val="0"/>
        <w:spacing w:after="60"/>
        <w:jc w:val="center"/>
        <w:rPr>
          <w:rFonts w:eastAsia="標楷體"/>
          <w:b/>
          <w:sz w:val="28"/>
          <w:szCs w:val="28"/>
        </w:rPr>
      </w:pPr>
      <w:r w:rsidRPr="00D871EA">
        <w:rPr>
          <w:rFonts w:eastAsia="標楷體"/>
          <w:b/>
          <w:sz w:val="28"/>
          <w:szCs w:val="28"/>
        </w:rPr>
        <w:t>（</w:t>
      </w:r>
      <w:r w:rsidRPr="00D871EA">
        <w:rPr>
          <w:rFonts w:eastAsia="標楷體"/>
          <w:b/>
          <w:sz w:val="28"/>
          <w:szCs w:val="28"/>
        </w:rPr>
        <w:t>11</w:t>
      </w:r>
      <w:r>
        <w:rPr>
          <w:rFonts w:eastAsia="標楷體" w:hint="eastAsia"/>
          <w:b/>
          <w:sz w:val="28"/>
          <w:szCs w:val="28"/>
        </w:rPr>
        <w:t>1</w:t>
      </w:r>
      <w:r w:rsidRPr="00D871EA">
        <w:rPr>
          <w:rFonts w:eastAsia="標楷體"/>
          <w:b/>
          <w:sz w:val="28"/>
          <w:szCs w:val="28"/>
        </w:rPr>
        <w:t>學年度入學新生適用）</w:t>
      </w:r>
    </w:p>
    <w:p w:rsidR="00553318" w:rsidRPr="00BC5EE3" w:rsidRDefault="00553318" w:rsidP="00BB1DFA">
      <w:pPr>
        <w:spacing w:line="400" w:lineRule="exact"/>
        <w:ind w:rightChars="-316" w:right="-758"/>
        <w:jc w:val="right"/>
        <w:rPr>
          <w:rFonts w:eastAsia="標楷體"/>
          <w:sz w:val="18"/>
          <w:szCs w:val="18"/>
        </w:rPr>
      </w:pPr>
      <w:r w:rsidRPr="00BC5EE3">
        <w:rPr>
          <w:rFonts w:eastAsia="標楷體"/>
          <w:sz w:val="18"/>
          <w:szCs w:val="18"/>
        </w:rPr>
        <w:t xml:space="preserve">111.04.20 </w:t>
      </w:r>
      <w:r w:rsidRPr="00BC5EE3">
        <w:rPr>
          <w:rFonts w:eastAsia="標楷體" w:hint="eastAsia"/>
          <w:sz w:val="18"/>
          <w:szCs w:val="18"/>
        </w:rPr>
        <w:t>一一</w:t>
      </w:r>
      <w:r w:rsidRPr="00BC5EE3">
        <w:rPr>
          <w:rFonts w:eastAsia="標楷體"/>
          <w:sz w:val="18"/>
          <w:szCs w:val="18"/>
        </w:rPr>
        <w:t>○</w:t>
      </w:r>
      <w:r w:rsidRPr="00BC5EE3">
        <w:rPr>
          <w:rFonts w:eastAsia="標楷體" w:hint="eastAsia"/>
          <w:sz w:val="18"/>
          <w:szCs w:val="18"/>
        </w:rPr>
        <w:t>學年度第六次教務會議通過</w:t>
      </w:r>
    </w:p>
    <w:p w:rsidR="00553318" w:rsidRPr="00BC5EE3" w:rsidRDefault="00553318" w:rsidP="00BB1DFA">
      <w:pPr>
        <w:snapToGrid w:val="0"/>
        <w:ind w:rightChars="-316" w:right="-758" w:hanging="2"/>
        <w:jc w:val="right"/>
        <w:rPr>
          <w:rFonts w:eastAsia="標楷體"/>
          <w:sz w:val="18"/>
          <w:szCs w:val="18"/>
        </w:rPr>
      </w:pPr>
      <w:r w:rsidRPr="00BC5EE3">
        <w:rPr>
          <w:rFonts w:eastAsia="標楷體"/>
          <w:sz w:val="18"/>
          <w:szCs w:val="18"/>
        </w:rPr>
        <w:t>Passed by the 6th Academic Affairs Meeting, Academic Year 2021, on April 20, 2022</w:t>
      </w:r>
    </w:p>
    <w:p w:rsidR="007102D5" w:rsidRPr="00BC5EE3" w:rsidRDefault="007102D5" w:rsidP="00BB1DFA">
      <w:pPr>
        <w:snapToGrid w:val="0"/>
        <w:ind w:rightChars="-316" w:right="-758" w:hanging="2"/>
        <w:jc w:val="right"/>
        <w:rPr>
          <w:rFonts w:eastAsia="標楷體"/>
          <w:sz w:val="18"/>
          <w:szCs w:val="18"/>
        </w:rPr>
      </w:pPr>
      <w:r w:rsidRPr="00BC5EE3">
        <w:rPr>
          <w:rFonts w:eastAsia="標楷體"/>
          <w:sz w:val="18"/>
          <w:szCs w:val="18"/>
        </w:rPr>
        <w:t xml:space="preserve">111.12.28 </w:t>
      </w:r>
      <w:r w:rsidRPr="00BC5EE3">
        <w:rPr>
          <w:rFonts w:eastAsia="標楷體"/>
          <w:sz w:val="18"/>
          <w:szCs w:val="18"/>
        </w:rPr>
        <w:t>一一一學年度第三次教務會議通過</w:t>
      </w:r>
    </w:p>
    <w:p w:rsidR="007102D5" w:rsidRDefault="007102D5" w:rsidP="00BB1DFA">
      <w:pPr>
        <w:snapToGrid w:val="0"/>
        <w:ind w:rightChars="-316" w:right="-758" w:hanging="2"/>
        <w:jc w:val="right"/>
        <w:rPr>
          <w:rFonts w:eastAsia="標楷體"/>
          <w:sz w:val="18"/>
          <w:szCs w:val="18"/>
        </w:rPr>
      </w:pPr>
      <w:r w:rsidRPr="00BC5EE3">
        <w:rPr>
          <w:rFonts w:eastAsia="標楷體"/>
          <w:sz w:val="18"/>
          <w:szCs w:val="18"/>
        </w:rPr>
        <w:t>Amended by the 3rd Academic Affairs Meeting, Academic Year 2022, on November 28, 2022</w:t>
      </w:r>
    </w:p>
    <w:p w:rsidR="00BB1DFA" w:rsidRDefault="00BB1DFA" w:rsidP="00BB1DFA">
      <w:pPr>
        <w:snapToGrid w:val="0"/>
        <w:ind w:rightChars="-316" w:right="-758" w:hanging="2"/>
        <w:jc w:val="right"/>
        <w:rPr>
          <w:rFonts w:eastAsia="標楷體"/>
          <w:sz w:val="18"/>
          <w:szCs w:val="18"/>
        </w:rPr>
      </w:pPr>
      <w:r w:rsidRPr="00BB1DFA">
        <w:rPr>
          <w:rFonts w:eastAsia="標楷體"/>
          <w:sz w:val="18"/>
          <w:szCs w:val="18"/>
        </w:rPr>
        <w:t xml:space="preserve">112.04.19 </w:t>
      </w:r>
      <w:r w:rsidRPr="00BB1DFA">
        <w:rPr>
          <w:rFonts w:eastAsia="標楷體"/>
          <w:sz w:val="18"/>
          <w:szCs w:val="18"/>
        </w:rPr>
        <w:t>一一一學年度第六次教務會議通過</w:t>
      </w:r>
    </w:p>
    <w:p w:rsidR="00BB1DFA" w:rsidRPr="00BB1DFA" w:rsidRDefault="00BB1DFA" w:rsidP="00BB1DFA">
      <w:pPr>
        <w:snapToGrid w:val="0"/>
        <w:ind w:rightChars="-316" w:right="-758" w:hanging="2"/>
        <w:jc w:val="right"/>
        <w:rPr>
          <w:rFonts w:eastAsia="標楷體" w:hint="eastAsia"/>
          <w:sz w:val="18"/>
          <w:szCs w:val="18"/>
        </w:rPr>
      </w:pPr>
      <w:r w:rsidRPr="00BB1DFA">
        <w:rPr>
          <w:rFonts w:eastAsia="標楷體"/>
          <w:sz w:val="18"/>
          <w:szCs w:val="18"/>
        </w:rPr>
        <w:t>Amended by the 6th Academic Affairs Meeting, Academic Year 2022, on April 19, 2023</w:t>
      </w:r>
    </w:p>
    <w:tbl>
      <w:tblPr>
        <w:tblW w:w="9054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591"/>
        <w:gridCol w:w="3969"/>
        <w:gridCol w:w="850"/>
      </w:tblGrid>
      <w:tr w:rsidR="009109E3" w:rsidRPr="00D976D8" w:rsidTr="00073500">
        <w:trPr>
          <w:trHeight w:val="330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09E3" w:rsidRPr="00D976D8" w:rsidRDefault="009109E3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9E3" w:rsidRPr="00D976D8" w:rsidRDefault="009109E3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9E3" w:rsidRPr="00D976D8" w:rsidRDefault="009109E3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9E3" w:rsidRPr="00D976D8" w:rsidRDefault="009109E3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9E3" w:rsidRPr="00D976D8" w:rsidRDefault="009109E3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9109E3" w:rsidRPr="00D976D8" w:rsidTr="00073500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09E3" w:rsidRPr="00D976D8" w:rsidRDefault="009109E3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AF582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AF582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AF582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AF582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F21AA0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109E3" w:rsidRPr="00977506" w:rsidRDefault="009109E3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一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977506" w:rsidRDefault="009109E3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109E3" w:rsidRPr="00D976D8" w:rsidRDefault="009109E3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09E3" w:rsidRPr="00D976D8" w:rsidRDefault="009109E3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09E3" w:rsidRPr="00D976D8" w:rsidRDefault="009109E3" w:rsidP="00272FE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3" w:rsidRPr="00D976D8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109E3" w:rsidRPr="00D976D8" w:rsidTr="0007350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D976D8" w:rsidRDefault="009109E3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F21AA0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E3" w:rsidRPr="00F21AA0" w:rsidRDefault="009109E3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9109E3" w:rsidRDefault="009109E3" w:rsidP="009109E3"/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971"/>
        <w:gridCol w:w="4116"/>
        <w:gridCol w:w="992"/>
      </w:tblGrid>
      <w:tr w:rsidR="00BC5EE3" w:rsidRPr="009D6F67" w:rsidTr="00BB1DFA">
        <w:trPr>
          <w:trHeight w:val="336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BC5EE3" w:rsidRPr="009D6F67" w:rsidRDefault="00BC5EE3" w:rsidP="00565785">
            <w:pPr>
              <w:widowControl/>
              <w:ind w:left="171" w:hangingChars="71" w:hanging="171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9D6F67">
              <w:rPr>
                <w:rFonts w:eastAsia="標楷體" w:hint="eastAsia"/>
                <w:b/>
                <w:szCs w:val="24"/>
                <w:lang w:eastAsia="zh-HK"/>
              </w:rPr>
              <w:lastRenderedPageBreak/>
              <w:t>選修</w:t>
            </w:r>
            <w:r w:rsidRPr="009D6F67">
              <w:rPr>
                <w:rFonts w:eastAsia="標楷體"/>
                <w:b/>
                <w:szCs w:val="24"/>
                <w:lang w:eastAsia="zh-HK"/>
              </w:rPr>
              <w:t>類別</w:t>
            </w:r>
            <w:r w:rsidRPr="009D6F67">
              <w:rPr>
                <w:rFonts w:eastAsia="標楷體" w:hint="eastAsia"/>
                <w:b/>
                <w:szCs w:val="24"/>
                <w:lang w:eastAsia="zh-HK"/>
              </w:rPr>
              <w:t>：基礎共同</w:t>
            </w:r>
            <w:r w:rsidRPr="009D6F67">
              <w:rPr>
                <w:rFonts w:eastAsia="標楷體" w:hint="eastAsia"/>
                <w:b/>
                <w:szCs w:val="24"/>
                <w:lang w:eastAsia="zh-HK"/>
              </w:rPr>
              <w:t xml:space="preserve"> </w:t>
            </w:r>
          </w:p>
        </w:tc>
      </w:tr>
      <w:tr w:rsidR="00BC5EE3" w:rsidRPr="009D6F67" w:rsidTr="00BB1DFA">
        <w:trPr>
          <w:trHeight w:val="300"/>
        </w:trPr>
        <w:tc>
          <w:tcPr>
            <w:tcW w:w="993" w:type="dxa"/>
          </w:tcPr>
          <w:p w:rsidR="00BC5EE3" w:rsidRPr="009D6F67" w:rsidRDefault="00BC5EE3" w:rsidP="00565785">
            <w:pPr>
              <w:widowControl/>
              <w:ind w:left="170" w:hangingChars="71" w:hanging="17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eastAsia="標楷體"/>
              </w:rPr>
              <w:br w:type="page"/>
            </w: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課號</w:t>
            </w:r>
          </w:p>
        </w:tc>
        <w:tc>
          <w:tcPr>
            <w:tcW w:w="2971" w:type="dxa"/>
          </w:tcPr>
          <w:p w:rsidR="00BC5EE3" w:rsidRPr="009D6F67" w:rsidRDefault="00BC5EE3" w:rsidP="00565785">
            <w:pPr>
              <w:widowControl/>
              <w:ind w:left="156" w:hangingChars="71" w:hanging="15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中文課名</w:t>
            </w:r>
          </w:p>
        </w:tc>
        <w:tc>
          <w:tcPr>
            <w:tcW w:w="4116" w:type="dxa"/>
          </w:tcPr>
          <w:p w:rsidR="00BC5EE3" w:rsidRPr="009D6F67" w:rsidRDefault="00BC5EE3" w:rsidP="00565785">
            <w:pPr>
              <w:widowControl/>
              <w:ind w:left="156" w:hangingChars="71" w:hanging="156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英文課名</w:t>
            </w:r>
          </w:p>
        </w:tc>
        <w:tc>
          <w:tcPr>
            <w:tcW w:w="992" w:type="dxa"/>
          </w:tcPr>
          <w:p w:rsidR="00BC5EE3" w:rsidRPr="009D6F67" w:rsidRDefault="00BC5EE3" w:rsidP="00565785">
            <w:pPr>
              <w:widowControl/>
              <w:ind w:left="156" w:rightChars="37" w:right="89" w:hangingChars="71" w:hanging="156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D6F6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</w:tc>
      </w:tr>
      <w:tr w:rsidR="00BC5EE3" w:rsidRPr="009D6F67" w:rsidTr="00BB1DFA">
        <w:trPr>
          <w:trHeight w:val="396"/>
        </w:trPr>
        <w:tc>
          <w:tcPr>
            <w:tcW w:w="993" w:type="dxa"/>
            <w:noWrap/>
            <w:hideMark/>
          </w:tcPr>
          <w:p w:rsidR="00BC5EE3" w:rsidRPr="00073500" w:rsidRDefault="00BC5EE3" w:rsidP="0056578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73500">
              <w:rPr>
                <w:kern w:val="0"/>
                <w:sz w:val="22"/>
                <w:szCs w:val="22"/>
              </w:rPr>
              <w:t>IE608</w:t>
            </w:r>
          </w:p>
        </w:tc>
        <w:tc>
          <w:tcPr>
            <w:tcW w:w="2971" w:type="dxa"/>
            <w:noWrap/>
            <w:hideMark/>
          </w:tcPr>
          <w:p w:rsidR="00BC5EE3" w:rsidRPr="00073500" w:rsidRDefault="00BC5EE3" w:rsidP="002B1AB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735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科技英文</w:t>
            </w:r>
          </w:p>
        </w:tc>
        <w:tc>
          <w:tcPr>
            <w:tcW w:w="4116" w:type="dxa"/>
            <w:noWrap/>
            <w:hideMark/>
          </w:tcPr>
          <w:p w:rsidR="00BC5EE3" w:rsidRPr="00073500" w:rsidRDefault="00BC5EE3" w:rsidP="00565785">
            <w:pPr>
              <w:widowControl/>
              <w:rPr>
                <w:kern w:val="0"/>
                <w:sz w:val="22"/>
                <w:szCs w:val="22"/>
              </w:rPr>
            </w:pPr>
            <w:r w:rsidRPr="00073500">
              <w:rPr>
                <w:kern w:val="0"/>
                <w:sz w:val="22"/>
                <w:szCs w:val="22"/>
              </w:rPr>
              <w:t>Technical Writing</w:t>
            </w:r>
          </w:p>
        </w:tc>
        <w:tc>
          <w:tcPr>
            <w:tcW w:w="992" w:type="dxa"/>
            <w:noWrap/>
            <w:hideMark/>
          </w:tcPr>
          <w:p w:rsidR="00BC5EE3" w:rsidRPr="00073500" w:rsidRDefault="00BC5EE3" w:rsidP="0056578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073500">
              <w:rPr>
                <w:kern w:val="0"/>
                <w:sz w:val="22"/>
                <w:szCs w:val="22"/>
              </w:rPr>
              <w:t>3</w:t>
            </w:r>
          </w:p>
        </w:tc>
      </w:tr>
    </w:tbl>
    <w:p w:rsidR="00BC5EE3" w:rsidRDefault="00BC5EE3" w:rsidP="009109E3"/>
    <w:p w:rsidR="002B1AB3" w:rsidRPr="00D976D8" w:rsidRDefault="002B1AB3" w:rsidP="009109E3">
      <w:bookmarkStart w:id="0" w:name="_GoBack"/>
      <w:bookmarkEnd w:id="0"/>
    </w:p>
    <w:sectPr w:rsidR="002B1AB3" w:rsidRPr="00D976D8" w:rsidSect="00BB1DFA">
      <w:pgSz w:w="11906" w:h="16838"/>
      <w:pgMar w:top="85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33" w:rsidRDefault="00DF1933" w:rsidP="00E20EEB">
      <w:r>
        <w:separator/>
      </w:r>
    </w:p>
  </w:endnote>
  <w:endnote w:type="continuationSeparator" w:id="0">
    <w:p w:rsidR="00DF1933" w:rsidRDefault="00DF1933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33" w:rsidRDefault="00DF1933" w:rsidP="00E20EEB">
      <w:r>
        <w:separator/>
      </w:r>
    </w:p>
  </w:footnote>
  <w:footnote w:type="continuationSeparator" w:id="0">
    <w:p w:rsidR="00DF1933" w:rsidRDefault="00DF1933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59B"/>
    <w:multiLevelType w:val="hybridMultilevel"/>
    <w:tmpl w:val="D288410E"/>
    <w:lvl w:ilvl="0" w:tplc="04090005">
      <w:start w:val="1"/>
      <w:numFmt w:val="bullet"/>
      <w:lvlText w:val=""/>
      <w:lvlJc w:val="left"/>
      <w:pPr>
        <w:ind w:left="6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7" w:hanging="480"/>
      </w:pPr>
      <w:rPr>
        <w:rFonts w:ascii="Wingdings" w:hAnsi="Wingdings" w:hint="default"/>
      </w:rPr>
    </w:lvl>
  </w:abstractNum>
  <w:abstractNum w:abstractNumId="1" w15:restartNumberingAfterBreak="0">
    <w:nsid w:val="313877C6"/>
    <w:multiLevelType w:val="hybridMultilevel"/>
    <w:tmpl w:val="9202FF14"/>
    <w:lvl w:ilvl="0" w:tplc="04090001">
      <w:start w:val="1"/>
      <w:numFmt w:val="bullet"/>
      <w:lvlText w:val=""/>
      <w:lvlJc w:val="left"/>
      <w:pPr>
        <w:ind w:left="6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7" w:hanging="480"/>
      </w:pPr>
      <w:rPr>
        <w:rFonts w:ascii="Wingdings" w:hAnsi="Wingdings" w:hint="default"/>
      </w:rPr>
    </w:lvl>
  </w:abstractNum>
  <w:abstractNum w:abstractNumId="2" w15:restartNumberingAfterBreak="0">
    <w:nsid w:val="36E119CB"/>
    <w:multiLevelType w:val="hybridMultilevel"/>
    <w:tmpl w:val="7BF049CE"/>
    <w:lvl w:ilvl="0" w:tplc="04090001">
      <w:start w:val="1"/>
      <w:numFmt w:val="bullet"/>
      <w:lvlText w:val=""/>
      <w:lvlJc w:val="left"/>
      <w:pPr>
        <w:ind w:left="6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7" w:hanging="480"/>
      </w:pPr>
      <w:rPr>
        <w:rFonts w:ascii="Wingdings" w:hAnsi="Wingdings" w:hint="default"/>
      </w:rPr>
    </w:lvl>
  </w:abstractNum>
  <w:abstractNum w:abstractNumId="3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9956B4"/>
    <w:multiLevelType w:val="hybridMultilevel"/>
    <w:tmpl w:val="EEBC23C0"/>
    <w:lvl w:ilvl="0" w:tplc="04090005">
      <w:start w:val="1"/>
      <w:numFmt w:val="bullet"/>
      <w:lvlText w:val="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1872"/>
    <w:rsid w:val="0003433D"/>
    <w:rsid w:val="00050A8A"/>
    <w:rsid w:val="00067981"/>
    <w:rsid w:val="00073500"/>
    <w:rsid w:val="0009277B"/>
    <w:rsid w:val="000A1474"/>
    <w:rsid w:val="000C7818"/>
    <w:rsid w:val="000D07DA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83E7A"/>
    <w:rsid w:val="00297C53"/>
    <w:rsid w:val="002A5FF4"/>
    <w:rsid w:val="002A7A56"/>
    <w:rsid w:val="002A7FF4"/>
    <w:rsid w:val="002B1AB3"/>
    <w:rsid w:val="002B2939"/>
    <w:rsid w:val="002C221B"/>
    <w:rsid w:val="002C38B3"/>
    <w:rsid w:val="002C6D17"/>
    <w:rsid w:val="002D17A9"/>
    <w:rsid w:val="002D1866"/>
    <w:rsid w:val="002D2486"/>
    <w:rsid w:val="002F4D95"/>
    <w:rsid w:val="002F7661"/>
    <w:rsid w:val="00314F78"/>
    <w:rsid w:val="003153B0"/>
    <w:rsid w:val="00320F52"/>
    <w:rsid w:val="00326CB6"/>
    <w:rsid w:val="0033506B"/>
    <w:rsid w:val="0035799A"/>
    <w:rsid w:val="003724E4"/>
    <w:rsid w:val="003925ED"/>
    <w:rsid w:val="00395266"/>
    <w:rsid w:val="003B4F13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0A1D"/>
    <w:rsid w:val="00456D8D"/>
    <w:rsid w:val="004B554D"/>
    <w:rsid w:val="004C6BF0"/>
    <w:rsid w:val="004D0498"/>
    <w:rsid w:val="004D249C"/>
    <w:rsid w:val="004D4763"/>
    <w:rsid w:val="004D7751"/>
    <w:rsid w:val="004E75E6"/>
    <w:rsid w:val="00503EDF"/>
    <w:rsid w:val="00512006"/>
    <w:rsid w:val="005171E1"/>
    <w:rsid w:val="0052033A"/>
    <w:rsid w:val="005211C7"/>
    <w:rsid w:val="00523DA8"/>
    <w:rsid w:val="005259C3"/>
    <w:rsid w:val="0054000A"/>
    <w:rsid w:val="0054111D"/>
    <w:rsid w:val="00550AEC"/>
    <w:rsid w:val="00550D4B"/>
    <w:rsid w:val="00553318"/>
    <w:rsid w:val="00555217"/>
    <w:rsid w:val="00585F40"/>
    <w:rsid w:val="005A0CC6"/>
    <w:rsid w:val="005A336F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0817"/>
    <w:rsid w:val="00644A4C"/>
    <w:rsid w:val="0066245A"/>
    <w:rsid w:val="006713BA"/>
    <w:rsid w:val="006725EC"/>
    <w:rsid w:val="00673D9F"/>
    <w:rsid w:val="006801CD"/>
    <w:rsid w:val="00683E51"/>
    <w:rsid w:val="00692230"/>
    <w:rsid w:val="006A2795"/>
    <w:rsid w:val="006A2BD6"/>
    <w:rsid w:val="006C117A"/>
    <w:rsid w:val="006C2145"/>
    <w:rsid w:val="006E511E"/>
    <w:rsid w:val="006E633F"/>
    <w:rsid w:val="0070058A"/>
    <w:rsid w:val="00704A1A"/>
    <w:rsid w:val="00704BA9"/>
    <w:rsid w:val="0070717E"/>
    <w:rsid w:val="007102D5"/>
    <w:rsid w:val="00722A61"/>
    <w:rsid w:val="0072401A"/>
    <w:rsid w:val="00724ED8"/>
    <w:rsid w:val="0075270D"/>
    <w:rsid w:val="0075614C"/>
    <w:rsid w:val="007575A6"/>
    <w:rsid w:val="00770764"/>
    <w:rsid w:val="00780606"/>
    <w:rsid w:val="00797D9B"/>
    <w:rsid w:val="007B2526"/>
    <w:rsid w:val="007B5A34"/>
    <w:rsid w:val="007D1B19"/>
    <w:rsid w:val="00823AD5"/>
    <w:rsid w:val="00831F39"/>
    <w:rsid w:val="00843F7A"/>
    <w:rsid w:val="00850C03"/>
    <w:rsid w:val="00855D92"/>
    <w:rsid w:val="008563C1"/>
    <w:rsid w:val="00862550"/>
    <w:rsid w:val="008633B1"/>
    <w:rsid w:val="008670FA"/>
    <w:rsid w:val="00871D0F"/>
    <w:rsid w:val="00897B65"/>
    <w:rsid w:val="008A0425"/>
    <w:rsid w:val="008B508C"/>
    <w:rsid w:val="008B56D5"/>
    <w:rsid w:val="008D2CA2"/>
    <w:rsid w:val="008D6EB6"/>
    <w:rsid w:val="008F1082"/>
    <w:rsid w:val="009109E3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0A34"/>
    <w:rsid w:val="00AB2A04"/>
    <w:rsid w:val="00AC401B"/>
    <w:rsid w:val="00AC6E3E"/>
    <w:rsid w:val="00AD0F31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A4B98"/>
    <w:rsid w:val="00BB1DFA"/>
    <w:rsid w:val="00BB33E2"/>
    <w:rsid w:val="00BC1787"/>
    <w:rsid w:val="00BC2BCB"/>
    <w:rsid w:val="00BC5EE3"/>
    <w:rsid w:val="00BC7733"/>
    <w:rsid w:val="00BF2023"/>
    <w:rsid w:val="00BF3507"/>
    <w:rsid w:val="00C00926"/>
    <w:rsid w:val="00C01CCA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A116D"/>
    <w:rsid w:val="00CB1D16"/>
    <w:rsid w:val="00D112D7"/>
    <w:rsid w:val="00D14305"/>
    <w:rsid w:val="00D16C63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1933"/>
    <w:rsid w:val="00DF47CD"/>
    <w:rsid w:val="00E02D89"/>
    <w:rsid w:val="00E15D26"/>
    <w:rsid w:val="00E20EEB"/>
    <w:rsid w:val="00E27063"/>
    <w:rsid w:val="00E35940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5301C"/>
    <w:rsid w:val="00F629F0"/>
    <w:rsid w:val="00F633A4"/>
    <w:rsid w:val="00F67FE5"/>
    <w:rsid w:val="00F72513"/>
    <w:rsid w:val="00FA7B59"/>
    <w:rsid w:val="00FC429C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F9A0A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9109E3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styleId="ab">
    <w:name w:val="Table Grid"/>
    <w:basedOn w:val="a1"/>
    <w:rsid w:val="00B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4659</Characters>
  <Application>Microsoft Office Word</Application>
  <DocSecurity>0</DocSecurity>
  <Lines>38</Lines>
  <Paragraphs>10</Paragraphs>
  <ScaleCrop>false</ScaleCrop>
  <Company>888TIGER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李佳霈</cp:lastModifiedBy>
  <cp:revision>3</cp:revision>
  <cp:lastPrinted>2020-03-16T07:10:00Z</cp:lastPrinted>
  <dcterms:created xsi:type="dcterms:W3CDTF">2023-04-28T08:14:00Z</dcterms:created>
  <dcterms:modified xsi:type="dcterms:W3CDTF">2023-04-28T08:16:00Z</dcterms:modified>
</cp:coreProperties>
</file>